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Enterprise AI Shifts From Model Access to Deployment Outcomes</w:t>
      </w:r>
    </w:p>
    <w:p>
      <w:pPr>
        <w:pStyle w:val="Author"/>
      </w:pPr>
      <w:r>
        <w:t xml:space="preserve">PM Daily Digest</w:t>
      </w:r>
    </w:p>
    <w:p>
      <w:pPr>
        <w:pStyle w:val="Date"/>
      </w:pPr>
      <w:r>
        <w:t xml:space="preserve">2026-07-11</w:t>
      </w:r>
    </w:p>
    <w:bookmarkStart w:id="33" w:name="X5e0ebaa1d24880150545a5d6fd3bdda17ce5266"/>
    <w:p>
      <w:pPr>
        <w:pStyle w:val="Heading1"/>
      </w:pPr>
      <w:r>
        <w:t xml:space="preserve">Enterprise AI Shifts From Model Access to Deployment Outcomes</w:t>
      </w:r>
    </w:p>
    <w:p>
      <w:pPr>
        <w:pStyle w:val="FirstParagraph"/>
      </w:pPr>
      <w:r>
        <w:rPr>
          <w:iCs/>
          <w:i/>
        </w:rPr>
        <w:t xml:space="preserve">By PM Daily Digest • July 11, 2026</w:t>
      </w:r>
    </w:p>
    <w:p>
      <w:pPr>
        <w:pStyle w:val="BodyText"/>
      </w:pPr>
      <w:r>
        <w:t xml:space="preserve">Enterprise AI vendors are competing on implementation outcomes, making organizational readiness and time-to-value central product concerns. This brief also offers practical frameworks for prioritization, feedback, and PM career development, alongside lessons from Snapbar’s virtual pivot.</w:t>
      </w:r>
    </w:p>
    <w:bookmarkStart w:id="20" w:name="big-ideas"/>
    <w:p>
      <w:pPr>
        <w:pStyle w:val="Heading2"/>
      </w:pPr>
      <w:r>
        <w:t xml:space="preserve">Big Ideas</w:t>
      </w:r>
    </w:p>
    <w:p>
      <w:pPr>
        <w:numPr>
          <w:ilvl w:val="0"/>
          <w:numId w:val="1001"/>
        </w:numPr>
      </w:pPr>
      <w:r>
        <w:rPr>
          <w:bCs/>
          <w:b/>
        </w:rPr>
        <w:t xml:space="preserve">Enterprise AI is becoming a deployment race, not just a model-access race.</w:t>
      </w:r>
      <w:r>
        <w:t xml:space="preserve"> </w:t>
      </w:r>
      <w:r>
        <w:t xml:space="preserve">Microsoft’s Frontier Company is deploying 6,000 engineers, trainers, industry specialists, and sales experts inside enterprise customers to implement AI; Meta and Amazon have announced similar efforts. For enterprise PMs, that raises the value of onboarding, integrations, and adoption tooling: buyers will increasingly compare vendors on how quickly they can achieve a working outcome, not simply gain a login. [1]</w:t>
      </w:r>
    </w:p>
    <w:p>
      <w:pPr>
        <w:numPr>
          <w:ilvl w:val="0"/>
          <w:numId w:val="1001"/>
        </w:numPr>
      </w:pPr>
      <w:r>
        <w:rPr>
          <w:bCs/>
          <w:b/>
        </w:rPr>
        <w:t xml:space="preserve">Organizational readiness is the limiting factor.</w:t>
      </w:r>
      <w:r>
        <w:t xml:space="preserve"> </w:t>
      </w:r>
      <w:r>
        <w:t xml:space="preserve">In a cited benchmark of executives at billion-dollar companies, 71% identified organizational readiness as the largest barrier to AI performance, versus 11% citing technology. The reported blockers were unclear ownership, misaligned incentives, and unchanged processes. [1]</w:t>
      </w:r>
    </w:p>
    <w:p>
      <w:pPr>
        <w:numPr>
          <w:ilvl w:val="0"/>
          <w:numId w:val="1001"/>
        </w:numPr>
      </w:pPr>
      <w:r>
        <w:rPr>
          <w:bCs/>
          <w:b/>
        </w:rPr>
        <w:t xml:space="preserve">Product leadership is about creating the conditions for teams to succeed.</w:t>
      </w:r>
      <w:r>
        <w:t xml:space="preserve"> </w:t>
      </w:r>
      <w:r>
        <w:t xml:space="preserve">A useful metaphor: teams build ships while leaders build the</w:t>
      </w:r>
      <w:r>
        <w:t xml:space="preserve"> </w:t>
      </w:r>
      <w:r>
        <w:t xml:space="preserve">“</w:t>
      </w:r>
      <w:r>
        <w:t xml:space="preserve">shipyard</w:t>
      </w:r>
      <w:r>
        <w:t xml:space="preserve">”</w:t>
      </w:r>
      <w:r>
        <w:t xml:space="preserve">—the resourcing, team design, operating model, clarity, and culture around them. Leaders are accountable for those conditions being in place, though they need not personally do every task. [2]</w:t>
      </w:r>
    </w:p>
    <w:bookmarkEnd w:id="20"/>
    <w:bookmarkStart w:id="24" w:name="tactical-playbook"/>
    <w:p>
      <w:pPr>
        <w:pStyle w:val="Heading2"/>
      </w:pPr>
      <w:r>
        <w:t xml:space="preserve">Tactical Playbook</w:t>
      </w:r>
    </w:p>
    <w:bookmarkStart w:id="21" w:name="X560c74f1ce673632e32ee711c60d9c8da722530"/>
    <w:p>
      <w:pPr>
        <w:pStyle w:val="Heading3"/>
      </w:pPr>
      <w:r>
        <w:t xml:space="preserve">Make AI adoption an owned product problem</w:t>
      </w:r>
    </w:p>
    <w:p>
      <w:pPr>
        <w:numPr>
          <w:ilvl w:val="0"/>
          <w:numId w:val="1002"/>
        </w:numPr>
        <w:pStyle w:val="Compact"/>
      </w:pPr>
      <w:r>
        <w:t xml:space="preserve">Name an accountable owner for adoption.</w:t>
      </w:r>
    </w:p>
    <w:p>
      <w:pPr>
        <w:numPr>
          <w:ilvl w:val="0"/>
          <w:numId w:val="1002"/>
        </w:numPr>
        <w:pStyle w:val="Compact"/>
      </w:pPr>
      <w:r>
        <w:t xml:space="preserve">Define what successful adoption means in your organization.</w:t>
      </w:r>
    </w:p>
    <w:p>
      <w:pPr>
        <w:numPr>
          <w:ilvl w:val="0"/>
          <w:numId w:val="1002"/>
        </w:numPr>
        <w:pStyle w:val="Compact"/>
      </w:pPr>
      <w:r>
        <w:t xml:space="preserve">Identify which working processes must change.</w:t>
      </w:r>
    </w:p>
    <w:p>
      <w:pPr>
        <w:numPr>
          <w:ilvl w:val="0"/>
          <w:numId w:val="1002"/>
        </w:numPr>
        <w:pStyle w:val="Compact"/>
      </w:pPr>
      <w:r>
        <w:t xml:space="preserve">If those questions currently have no owner, treat the gap as a product-leadership opportunity rather than waiting for a technology fix. [1]</w:t>
      </w:r>
    </w:p>
    <w:bookmarkEnd w:id="21"/>
    <w:bookmarkStart w:id="22" w:name="X52091aed176ed3694ca2065052a9e7e2b63334d"/>
    <w:p>
      <w:pPr>
        <w:pStyle w:val="Heading3"/>
      </w:pPr>
      <w:r>
        <w:t xml:space="preserve">Use a decision stack to make prioritization—and</w:t>
      </w:r>
      <w:r>
        <w:t xml:space="preserve"> </w:t>
      </w:r>
      <w:r>
        <w:t xml:space="preserve">“</w:t>
      </w:r>
      <w:r>
        <w:t xml:space="preserve">no</w:t>
      </w:r>
      <w:r>
        <w:t xml:space="preserve">”</w:t>
      </w:r>
      <w:r>
        <w:t xml:space="preserve">—less personal</w:t>
      </w:r>
    </w:p>
    <w:p>
      <w:pPr>
        <w:numPr>
          <w:ilvl w:val="0"/>
          <w:numId w:val="1003"/>
        </w:numPr>
        <w:pStyle w:val="Compact"/>
      </w:pPr>
      <w:r>
        <w:t xml:space="preserve">Map the chain from</w:t>
      </w:r>
      <w:r>
        <w:t xml:space="preserve"> </w:t>
      </w:r>
      <w:r>
        <w:rPr>
          <w:bCs/>
          <w:b/>
        </w:rPr>
        <w:t xml:space="preserve">product vision → strategy → measurable objectives/goals → epics or work items</w:t>
      </w:r>
      <w:r>
        <w:t xml:space="preserve">.</w:t>
      </w:r>
    </w:p>
    <w:p>
      <w:pPr>
        <w:numPr>
          <w:ilvl w:val="0"/>
          <w:numId w:val="1003"/>
        </w:numPr>
        <w:pStyle w:val="Compact"/>
      </w:pPr>
      <w:r>
        <w:t xml:space="preserve">For every proposed item, ask which current objective it advances and how that objective supports strategy.</w:t>
      </w:r>
    </w:p>
    <w:p>
      <w:pPr>
        <w:numPr>
          <w:ilvl w:val="0"/>
          <w:numId w:val="1003"/>
        </w:numPr>
        <w:pStyle w:val="Compact"/>
      </w:pPr>
      <w:r>
        <w:t xml:space="preserve">If the link is missing, explain the decision through the shared framework. Consider whether the objective should change in a future planning cycle rather than forcing the request into the current roadmap.</w:t>
      </w:r>
    </w:p>
    <w:p>
      <w:pPr>
        <w:numPr>
          <w:ilvl w:val="0"/>
          <w:numId w:val="1003"/>
        </w:numPr>
        <w:pStyle w:val="Compact"/>
      </w:pPr>
      <w:r>
        <w:t xml:space="preserve">Clarify who owns each layer of the stack so stakeholders know where to take the relevant decision. [2]</w:t>
      </w:r>
    </w:p>
    <w:p>
      <w:pPr>
        <w:pStyle w:val="FirstParagraph"/>
      </w:pPr>
      <w:r>
        <w:rPr>
          <w:bCs/>
          <w:b/>
        </w:rPr>
        <w:t xml:space="preserve">Why it matters:</w:t>
      </w:r>
      <w:r>
        <w:t xml:space="preserve"> </w:t>
      </w:r>
      <w:r>
        <w:t xml:space="preserve">a visible decision structure shifts discussion from a PM personally rejecting an idea to whether the work has a defensible strategic connection. [2]</w:t>
      </w:r>
    </w:p>
    <w:bookmarkEnd w:id="22"/>
    <w:bookmarkStart w:id="23" w:name="give-feedback-with-observable-evidence"/>
    <w:p>
      <w:pPr>
        <w:pStyle w:val="Heading3"/>
      </w:pPr>
      <w:r>
        <w:t xml:space="preserve">Give feedback with observable evidence</w:t>
      </w:r>
    </w:p>
    <w:p>
      <w:pPr>
        <w:pStyle w:val="FirstParagraph"/>
      </w:pPr>
      <w:r>
        <w:t xml:space="preserve">Use</w:t>
      </w:r>
      <w:r>
        <w:t xml:space="preserve"> </w:t>
      </w:r>
      <w:r>
        <w:rPr>
          <w:bCs/>
          <w:b/>
        </w:rPr>
        <w:t xml:space="preserve">Situation–Behavior–Impact (SBI)</w:t>
      </w:r>
      <w:r>
        <w:t xml:space="preserve">: describe the situation you observed, the specific behavior, and its impact. Offer a suggestion only when the relationship supports it. Regularly recognizing positive behavior can help establish a feedback culture before difficult conversations are needed. [2]</w:t>
      </w:r>
    </w:p>
    <w:bookmarkEnd w:id="23"/>
    <w:bookmarkEnd w:id="24"/>
    <w:bookmarkStart w:id="25" w:name="case-studies-lessons"/>
    <w:p>
      <w:pPr>
        <w:pStyle w:val="Heading2"/>
      </w:pPr>
      <w:r>
        <w:t xml:space="preserve">Case Studies &amp; Lessons</w:t>
      </w:r>
    </w:p>
    <w:p>
      <w:pPr>
        <w:numPr>
          <w:ilvl w:val="0"/>
          <w:numId w:val="1004"/>
        </w:numPr>
      </w:pPr>
      <w:r>
        <w:rPr>
          <w:bCs/>
          <w:b/>
        </w:rPr>
        <w:t xml:space="preserve">Snapbar’s COVID pivot:</w:t>
      </w:r>
      <w:r>
        <w:t xml:space="preserve"> </w:t>
      </w:r>
      <w:r>
        <w:t xml:space="preserve">after its best year, Snapbar lost its in-person-events business when those events shut down during COVID. The team used WebRTC to stream video and audio across devices, rebuilding its photo-booth experience for a virtual setting. The resulting virtual photo booth became the foundation for what the company builds today.</w:t>
      </w:r>
      <w:r>
        <w:t xml:space="preserve"> </w:t>
      </w:r>
      <w:r>
        <w:rPr>
          <w:bCs/>
          <w:b/>
        </w:rPr>
        <w:t xml:space="preserve">Lesson:</w:t>
      </w:r>
      <w:r>
        <w:t xml:space="preserve"> </w:t>
      </w:r>
      <w:r>
        <w:t xml:space="preserve">when a core context disappears, preserve the underlying customer experience and find the technical mechanism that can deliver it in the new environment. [3]</w:t>
      </w:r>
    </w:p>
    <w:p>
      <w:pPr>
        <w:numPr>
          <w:ilvl w:val="0"/>
          <w:numId w:val="1004"/>
        </w:numPr>
      </w:pPr>
      <w:r>
        <w:rPr>
          <w:bCs/>
          <w:b/>
        </w:rPr>
        <w:t xml:space="preserve">Design for focus, not interruption.</w:t>
      </w:r>
      <w:r>
        <w:t xml:space="preserve"> </w:t>
      </w:r>
      <w:r>
        <w:t xml:space="preserve">Tony Fadell described the iPod goal as making music listening effortless: technology should disappear into the experience rather than continually interrupt it. He argues the next innovation wave will be about helping people focus on what matters.</w:t>
      </w:r>
      <w:r>
        <w:t xml:space="preserve"> </w:t>
      </w:r>
      <w:r>
        <w:rPr>
          <w:bCs/>
          <w:b/>
        </w:rPr>
        <w:t xml:space="preserve">Application:</w:t>
      </w:r>
      <w:r>
        <w:t xml:space="preserve"> </w:t>
      </w:r>
      <w:r>
        <w:t xml:space="preserve">assess new features and AI interactions by whether they reduce effort and distraction for the user. [4]</w:t>
      </w:r>
    </w:p>
    <w:bookmarkEnd w:id="25"/>
    <w:bookmarkStart w:id="26" w:name="career-corner"/>
    <w:p>
      <w:pPr>
        <w:pStyle w:val="Heading2"/>
      </w:pPr>
      <w:r>
        <w:t xml:space="preserve">Career Corner</w:t>
      </w:r>
    </w:p>
    <w:p>
      <w:pPr>
        <w:numPr>
          <w:ilvl w:val="0"/>
          <w:numId w:val="1005"/>
        </w:numPr>
      </w:pPr>
      <w:r>
        <w:rPr>
          <w:bCs/>
          <w:b/>
        </w:rPr>
        <w:t xml:space="preserve">Automate the mechanics before they define your role.</w:t>
      </w:r>
      <w:r>
        <w:t xml:space="preserve"> </w:t>
      </w:r>
      <w:r>
        <w:t xml:space="preserve">One PM perspective is that roles centered on status synthesis, coordination, ticket writing, and information brokerage are especially exposed because AI can perform much of that work. Proactively automate those tasks to create room for strategy, customer insight, and judgment in ambiguous situations. [1]</w:t>
      </w:r>
    </w:p>
    <w:p>
      <w:pPr>
        <w:numPr>
          <w:ilvl w:val="0"/>
          <w:numId w:val="1005"/>
        </w:numPr>
      </w:pPr>
      <w:r>
        <w:rPr>
          <w:bCs/>
          <w:b/>
        </w:rPr>
        <w:t xml:space="preserve">Create a self-coaching plan.</w:t>
      </w:r>
      <w:r>
        <w:t xml:space="preserve"> </w:t>
      </w:r>
      <w:r>
        <w:t xml:space="preserve">If your manager lacks a clear PM-development rubric, use a PM assessment to identify one learning priority. Then make a</w:t>
      </w:r>
      <w:r>
        <w:t xml:space="preserve"> </w:t>
      </w:r>
      <w:r>
        <w:t xml:space="preserve">“</w:t>
      </w:r>
      <w:r>
        <w:t xml:space="preserve">future self</w:t>
      </w:r>
      <w:r>
        <w:t xml:space="preserve">”</w:t>
      </w:r>
      <w:r>
        <w:t xml:space="preserve"> </w:t>
      </w:r>
      <w:r>
        <w:t xml:space="preserve">canvas: document the current state, define the desired state, choose actions, and set a timeframe. Seek a next challenge that lets you practise the missing skill, while learning to connect your work to company-level objectives. [2]</w:t>
      </w:r>
    </w:p>
    <w:bookmarkEnd w:id="26"/>
    <w:bookmarkStart w:id="32" w:name="tools-resources"/>
    <w:p>
      <w:pPr>
        <w:pStyle w:val="Heading2"/>
      </w:pPr>
      <w:r>
        <w:t xml:space="preserve">Tools &amp; Resources</w:t>
      </w:r>
    </w:p>
    <w:p>
      <w:pPr>
        <w:numPr>
          <w:ilvl w:val="0"/>
          <w:numId w:val="1006"/>
        </w:numPr>
        <w:pStyle w:val="Compact"/>
      </w:pPr>
      <w:r>
        <w:rPr>
          <w:bCs/>
          <w:b/>
        </w:rPr>
        <w:t xml:space="preserve">Decision stack:</w:t>
      </w:r>
      <w:r>
        <w:t xml:space="preserve"> </w:t>
      </w:r>
      <w:r>
        <w:t xml:space="preserve">a reusable prioritization and stakeholder-management template linking vision, strategy, goals, and work items. [2]</w:t>
      </w:r>
    </w:p>
    <w:p>
      <w:pPr>
        <w:numPr>
          <w:ilvl w:val="0"/>
          <w:numId w:val="1006"/>
        </w:numPr>
        <w:pStyle w:val="Compact"/>
      </w:pPr>
      <w:r>
        <w:rPr>
          <w:bCs/>
          <w:b/>
        </w:rPr>
        <w:t xml:space="preserve">SBI feedback framework:</w:t>
      </w:r>
      <w:r>
        <w:t xml:space="preserve"> </w:t>
      </w:r>
      <w:r>
        <w:t xml:space="preserve">a compact structure for giving precise feedback based on observed behavior and impact. [2]</w:t>
      </w:r>
    </w:p>
    <w:p>
      <w:pPr>
        <w:numPr>
          <w:ilvl w:val="0"/>
          <w:numId w:val="1006"/>
        </w:numPr>
        <w:pStyle w:val="Compact"/>
      </w:pPr>
      <w:r>
        <w:rPr>
          <w:bCs/>
          <w:b/>
        </w:rPr>
        <w:t xml:space="preserve">PM assessments and the future-self canvas:</w:t>
      </w:r>
      <w:r>
        <w:t xml:space="preserve"> </w:t>
      </w:r>
      <w:r>
        <w:t xml:space="preserve">tools for turning a broad development goal into a focused, time-bound growth plan. [2]</w:t>
      </w:r>
    </w:p>
    <w:p>
      <w:r>
        <w:pict>
          <v:rect style="width:0;height:1.5pt" o:hralign="center" o:hrstd="t" o:hr="t"/>
        </w:pict>
      </w:r>
    </w:p>
    <w:bookmarkStart w:id="31" w:name="sources"/>
    <w:p>
      <w:pPr>
        <w:pStyle w:val="Heading3"/>
      </w:pPr>
      <w:r>
        <w:t xml:space="preserve">Sources</w:t>
      </w:r>
    </w:p>
    <w:p>
      <w:pPr>
        <w:numPr>
          <w:ilvl w:val="0"/>
          <w:numId w:val="1007"/>
        </w:numPr>
        <w:pStyle w:val="Compact"/>
      </w:pPr>
      <w:hyperlink r:id="rId27">
        <w:r>
          <w:rPr>
            <w:rStyle w:val="Hyperlink"/>
          </w:rPr>
          <w:t xml:space="preserve">Microsoft’s $2.5bn bet</w:t>
        </w:r>
      </w:hyperlink>
    </w:p>
    <w:p>
      <w:pPr>
        <w:numPr>
          <w:ilvl w:val="0"/>
          <w:numId w:val="1007"/>
        </w:numPr>
        <w:pStyle w:val="Compact"/>
      </w:pPr>
      <w:hyperlink r:id="rId28">
        <w:r>
          <w:rPr>
            <w:rStyle w:val="Hyperlink"/>
          </w:rPr>
          <w:t xml:space="preserve">How to Prepare Myself to Become a Product Leader | Petra Wille | ProductTank Cologne</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@ttorres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@tfadell</w:t>
        </w:r>
      </w:hyperlink>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tube.com/watch?v=2c6Ihw-LCQo" TargetMode="External" /><Relationship Type="http://schemas.openxmlformats.org/officeDocument/2006/relationships/hyperlink" Id="rId27" Target="https://www.youtube.com/watch?v=bRFqBEfFTU0" TargetMode="External" /><Relationship Type="http://schemas.openxmlformats.org/officeDocument/2006/relationships/hyperlink" Id="rId30" Target="https://x.com/tfadell/status/2075651683594748214" TargetMode="External" /><Relationship Type="http://schemas.openxmlformats.org/officeDocument/2006/relationships/hyperlink" Id="rId29" Target="https://x.com/ttorres/status/2075629756842643518"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tube.com/watch?v=2c6Ihw-LCQo" TargetMode="External" /><Relationship Type="http://schemas.openxmlformats.org/officeDocument/2006/relationships/hyperlink" Id="rId27" Target="https://www.youtube.com/watch?v=bRFqBEfFTU0" TargetMode="External" /><Relationship Type="http://schemas.openxmlformats.org/officeDocument/2006/relationships/hyperlink" Id="rId30" Target="https://x.com/tfadell/status/2075651683594748214" TargetMode="External" /><Relationship Type="http://schemas.openxmlformats.org/officeDocument/2006/relationships/hyperlink" Id="rId29" Target="https://x.com/ttorres/status/20756297568426435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AI Shifts From Model Access to Deployment Outcomes</dc:title>
  <dc:creator>PM Daily Digest</dc:creator>
  <cp:keywords/>
  <dcterms:created xsi:type="dcterms:W3CDTF">2026-07-11T17:59:58Z</dcterms:created>
  <dcterms:modified xsi:type="dcterms:W3CDTF">2026-07-11T17:59:58Z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2026-07-11</vt:lpwstr>
  </property>
</Properties>
</file>