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Everyday Bitcoin Payments Surface in Randwest and Nairobi as BTC Map Adds 502 Merchant Records</w:t>
      </w:r>
    </w:p>
    <w:p>
      <w:pPr>
        <w:pStyle w:val="Author"/>
      </w:pPr>
      <w:r>
        <w:t xml:space="preserve">Bitcoin Payment Adoption Tracker</w:t>
      </w:r>
    </w:p>
    <w:p>
      <w:pPr>
        <w:pStyle w:val="Date"/>
      </w:pPr>
      <w:r>
        <w:t xml:space="preserve">2026-08-06</w:t>
      </w:r>
    </w:p>
    <w:bookmarkStart w:id="35" w:name="Xbd1a177eec4de472ab9daecd8898a10d643b86f"/>
    <w:p>
      <w:pPr>
        <w:pStyle w:val="Heading1"/>
      </w:pPr>
      <w:r>
        <w:t xml:space="preserve">Everyday Bitcoin Payments Surface in Randwest and Nairobi as BTC Map Adds 502 Merchant Records</w:t>
      </w:r>
    </w:p>
    <w:p>
      <w:pPr>
        <w:pStyle w:val="FirstParagraph"/>
      </w:pPr>
      <w:r>
        <w:rPr>
          <w:iCs/>
          <w:i/>
        </w:rPr>
        <w:t xml:space="preserve">By Bitcoin Payment Adoption Tracker • August 6, 2026</w:t>
      </w:r>
    </w:p>
    <w:p>
      <w:pPr>
        <w:pStyle w:val="BodyText"/>
      </w:pPr>
      <w:r>
        <w:t xml:space="preserve">The period brings reported daily-use payment examples in Randwest and Nairobi, a 15-entrepreneur acceptance-workshop pipeline in Honduras, and a BTC Map release that expands merchant discovery while showing verification freshness remains a constraint.</w:t>
      </w:r>
    </w:p>
    <w:bookmarkStart w:id="20" w:name="major-adoption-news"/>
    <w:p>
      <w:pPr>
        <w:pStyle w:val="Heading2"/>
      </w:pPr>
      <w:r>
        <w:t xml:space="preserve">Major Adoption News</w:t>
      </w:r>
    </w:p>
    <w:p>
      <w:pPr>
        <w:pStyle w:val="FirstParagraph"/>
      </w:pPr>
      <w:r>
        <w:rPr>
          <w:bCs/>
          <w:b/>
        </w:rPr>
        <w:t xml:space="preserve">Randwest, South Africa — Bitcoin Sisonke linked everyday-essentials spending to a mapped merchant.</w:t>
      </w:r>
      <w:r>
        <w:t xml:space="preserve"> </w:t>
      </w:r>
      <w:r>
        <w:t xml:space="preserve">The community promoted</w:t>
      </w:r>
      <w:r>
        <w:t xml:space="preserve"> </w:t>
      </w:r>
      <w:r>
        <w:rPr>
          <w:rStyle w:val="VerbatimChar"/>
        </w:rPr>
        <w:t xml:space="preserve">Mucambe@blink.sv</w:t>
      </w:r>
      <w:r>
        <w:t xml:space="preserve"> </w:t>
      </w:r>
      <w:r>
        <w:t xml:space="preserve">under #SPEDN and said Bitcoin is used to buy everyday essentials; the linked BTC Map record is titled</w:t>
      </w:r>
      <w:r>
        <w:t xml:space="preserve"> </w:t>
      </w:r>
      <w:r>
        <w:rPr>
          <w:bCs/>
          <w:b/>
        </w:rPr>
        <w:t xml:space="preserve">Mkambi</w:t>
      </w:r>
      <w:r>
        <w:t xml:space="preserve">, gives a Folly Ledwaba Street, Randwest address, a +27 contact and an</w:t>
      </w:r>
      <w:r>
        <w:t xml:space="preserve"> </w:t>
      </w:r>
      <w:r>
        <w:rPr>
          <w:rStyle w:val="VerbatimChar"/>
        </w:rPr>
        <w:t xml:space="preserve">ln-highlight.svg</w:t>
      </w:r>
      <w:r>
        <w:t xml:space="preserve"> </w:t>
      </w:r>
      <w:r>
        <w:t xml:space="preserve">acceptance marker. [1, 2] This is a concrete basic-needs use case, but still a community-reported example: the posts provide no payment amount, frequency or repeat-use measure.</w:t>
      </w:r>
    </w:p>
    <w:p>
      <w:pPr>
        <w:pStyle w:val="BodyText"/>
      </w:pPr>
      <w:r>
        <w:rPr>
          <w:bCs/>
          <w:b/>
        </w:rPr>
        <w:t xml:space="preserve">Nairobi, Kenya — a water-refill service was shown accepting Bitcoin.</w:t>
      </w:r>
      <w:r>
        <w:t xml:space="preserve"> </w:t>
      </w:r>
      <w:r>
        <w:t xml:space="preserve">BitBiashara identified Aqua Selim as a water-refill station, supplied the Blink endpoint</w:t>
      </w:r>
      <w:r>
        <w:t xml:space="preserve"> </w:t>
      </w:r>
      <w:r>
        <w:rPr>
          <w:rStyle w:val="VerbatimChar"/>
        </w:rPr>
        <w:t xml:space="preserve">Anselim@blink.sv</w:t>
      </w:r>
      <w:r>
        <w:t xml:space="preserve">, and said a customer had refilled drinking water with Bitcoin. [3] The linked BTC Map listing places Aqua Selim on Manyanja Road in Nairobi, shows the same LN acceptance marker and links the merchant to Bitbiashara and other Nairobi communities. [4] The significance is sectoral rather than statistical: payment use is being demonstrated for a routine necessity, not just a Bitcoin-themed event, but no value or transaction count is reported.</w:t>
      </w:r>
    </w:p>
    <w:p>
      <w:pPr>
        <w:pStyle w:val="BodyText"/>
      </w:pPr>
      <w:r>
        <w:rPr>
          <w:bCs/>
          <w:b/>
        </w:rPr>
        <w:t xml:space="preserve">La Ceiba/Roatán, Honduras — merchant onboarding interest is moving toward another city.</w:t>
      </w:r>
      <w:r>
        <w:t xml:space="preserve"> </w:t>
      </w:r>
      <w:r>
        <w:t xml:space="preserve">Bitcoin Roatan said 15 entrepreneurs from La Ceiba, including that city’s mayor, visited to learn how to accept Bitcoin and invited the community to conduct further workshops in La Ceiba. [5] This is a potential expansion pipeline and a public-sector-adjacent audience, not evidence that the visitors have already begun accepting Bitcoin.</w:t>
      </w:r>
    </w:p>
    <w:bookmarkEnd w:id="20"/>
    <w:bookmarkStart w:id="21" w:name="payment-infrastructure"/>
    <w:p>
      <w:pPr>
        <w:pStyle w:val="Heading2"/>
      </w:pPr>
      <w:r>
        <w:t xml:space="preserve">Payment Infrastructure</w:t>
      </w:r>
    </w:p>
    <w:p>
      <w:pPr>
        <w:pStyle w:val="FirstParagraph"/>
      </w:pPr>
      <w:r>
        <w:rPr>
          <w:bCs/>
          <w:b/>
        </w:rPr>
        <w:t xml:space="preserve">Global — BTC Map is strengthening the discovery and maintenance layer around merchant acceptance.</w:t>
      </w:r>
      <w:r>
        <w:t xml:space="preserve"> </w:t>
      </w:r>
      <w:r>
        <w:t xml:space="preserve">Its current announcement highlights 502 net new merchants, web omnisearch, a leaner Android map and a new Event Admin tool. [6] The underlying July update says the web app can search places by address and other OpenStreetMap tags, while the API added wallet-data caching, Electrum-server management, platform statistics and event-update functions. [7] Android added dedicated viewport caches for merchants, events and exchanges and fixed map-sync and empty-viewport problems. [7] These changes make it easier to find and maintain acceptance points; they are directory and operational improvements, not a new payment processor or evidence of faster settlement.</w:t>
      </w:r>
    </w:p>
    <w:bookmarkEnd w:id="21"/>
    <w:bookmarkStart w:id="22" w:name="regulatory-landscape"/>
    <w:p>
      <w:pPr>
        <w:pStyle w:val="Heading2"/>
      </w:pPr>
      <w:r>
        <w:t xml:space="preserve">Regulatory Landscape</w:t>
      </w:r>
    </w:p>
    <w:p>
      <w:pPr>
        <w:pStyle w:val="FirstParagraph"/>
      </w:pPr>
      <w:r>
        <w:rPr>
          <w:bCs/>
          <w:b/>
        </w:rPr>
        <w:t xml:space="preserve">No new payment-specific legal, tax, licensing or legal-tender change is substantiated in the current-period material reviewed for this brief.</w:t>
      </w:r>
      <w:r>
        <w:t xml:space="preserve"> </w:t>
      </w:r>
      <w:r>
        <w:t xml:space="preserve">This section therefore records a monitoring gap rather than treating Bitcoin education or community activity as a regulatory development.</w:t>
      </w:r>
    </w:p>
    <w:bookmarkEnd w:id="22"/>
    <w:bookmarkStart w:id="23" w:name="usage-metrics"/>
    <w:p>
      <w:pPr>
        <w:pStyle w:val="Heading2"/>
      </w:pPr>
      <w:r>
        <w:t xml:space="preserve">Usage Metrics</w:t>
      </w:r>
    </w:p>
    <w:p>
      <w:pPr>
        <w:pStyle w:val="FirstParagraph"/>
      </w:pPr>
      <w:r>
        <w:t xml:space="preserve">BTC Map’s July dashboard reports total Bitcoin-accepting merchants rising from 26,073 to 26,575, a net increase of 502 or 1.9%;</w:t>
      </w:r>
      <w:r>
        <w:t xml:space="preserve"> </w:t>
      </w:r>
      <w:r>
        <w:t xml:space="preserve">“</w:t>
      </w:r>
      <w:r>
        <w:t xml:space="preserve">Bitcoin-accepting places</w:t>
      </w:r>
      <w:r>
        <w:t xml:space="preserve">”</w:t>
      </w:r>
      <w:r>
        <w:t xml:space="preserve"> </w:t>
      </w:r>
      <w:r>
        <w:t xml:space="preserve">rose by 489 to 29,061. [7] The source explicitly cautions that the charts track merchant growth only and that the places count also includes exchanges and ATMs. [7] These are directory measures, not transaction volume.</w:t>
      </w:r>
    </w:p>
    <w:p>
      <w:pPr>
        <w:pStyle w:val="BodyText"/>
      </w:pPr>
      <w:r>
        <w:t xml:space="preserve">The quality signal is mixed: recently verified merchants within one year fell from 16,990 to 16,860, while the average time since last verification rose from 402 to 418 days. [7] Meanwhile, the two current basic-needs payment posts identify use cases but provide no sat or fiat value, aggregate count or repeat-use rate. [1, 3] The period supports breadth of examples and merchant-directory growth, not a defensible estimate of payment volume or active-user growth.</w:t>
      </w:r>
    </w:p>
    <w:bookmarkEnd w:id="23"/>
    <w:bookmarkStart w:id="24" w:name="emerging-markets"/>
    <w:p>
      <w:pPr>
        <w:pStyle w:val="Heading2"/>
      </w:pPr>
      <w:r>
        <w:t xml:space="preserve">Emerging Markets</w:t>
      </w:r>
    </w:p>
    <w:p>
      <w:pPr>
        <w:pStyle w:val="FirstParagraph"/>
      </w:pPr>
      <w:r>
        <w:t xml:space="preserve">The strongest emerging-market pattern is diversification into ordinary local services. Randwest contributes an everyday-essentials example and Nairobi a water-refill example, while the La Ceiba visit shows a group of 15 entrepreneurs seeking the knowledge to accept Bitcoin in a second Honduran city. [1, 3, 5] In El Salvador, Bitcoin Berlin SV released an episode from La Laguna framed as a review of a full year of local Bitcoin adoption and circular economies, alongside community sports and education. [8] The latter is a continuity signal for a local circular-economy project, not a reported merchant, transaction or volume metric.</w:t>
      </w:r>
    </w:p>
    <w:bookmarkEnd w:id="24"/>
    <w:bookmarkStart w:id="34" w:name="adoption-outlook"/>
    <w:p>
      <w:pPr>
        <w:pStyle w:val="Heading2"/>
      </w:pPr>
      <w:r>
        <w:t xml:space="preserve">Adoption Outlook</w:t>
      </w:r>
    </w:p>
    <w:p>
      <w:pPr>
        <w:pStyle w:val="FirstParagraph"/>
      </w:pPr>
      <w:r>
        <w:t xml:space="preserve">Bitcoin’s payment signal is becoming more tangible at the grassroots edge: current posts show basic-needs use in South Africa and Kenya, while Honduras supplies a measurable merchant-onboarding cohort. BTC Map’s 502-merchant increase and search, mobile and admin improvements expand the infrastructure for discovering those endpoints. [7]</w:t>
      </w:r>
    </w:p>
    <w:p>
      <w:pPr>
        <w:pStyle w:val="BodyText"/>
      </w:pPr>
      <w:r>
        <w:t xml:space="preserve">The limiting evidence is equally concrete. Map growth is accompanied by fewer recently verified listings and an older average verification date, and the direct-use reports contain no amounts or repeat-rate data. [7] Near-term viability will therefore be better tested by repeat payments, disclosed transaction values and fresher merchant verification than by listing growth alone.</w:t>
      </w:r>
    </w:p>
    <w:p>
      <w:r>
        <w:pict>
          <v:rect style="width:0;height:1.5pt" o:hralign="center" o:hrstd="t" o:hr="t"/>
        </w:pict>
      </w:r>
    </w:p>
    <w:bookmarkStart w:id="3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@sisonkeBTC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Mkambi - BTC Map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@BitBiashara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Aqua Selim - BTC Map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@BitcoinRoatan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@btcmap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July 2026 Update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@BitcoinBerlinSV</w:t>
        </w:r>
      </w:hyperlink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https://blog.btcmap.org/posts/2026-07/" TargetMode="External" /><Relationship Type="http://schemas.openxmlformats.org/officeDocument/2006/relationships/hyperlink" Id="rId26" Target="https://btcmap.org/merchant/31296" TargetMode="External" /><Relationship Type="http://schemas.openxmlformats.org/officeDocument/2006/relationships/hyperlink" Id="rId28" Target="https://btcmap.org/merchant/34742" TargetMode="External" /><Relationship Type="http://schemas.openxmlformats.org/officeDocument/2006/relationships/hyperlink" Id="rId27" Target="https://x.com/BitBiashara/status/2085027632907764162" TargetMode="External" /><Relationship Type="http://schemas.openxmlformats.org/officeDocument/2006/relationships/hyperlink" Id="rId32" Target="https://x.com/BitcoinBerlinSV/status/2085197547593674766" TargetMode="External" /><Relationship Type="http://schemas.openxmlformats.org/officeDocument/2006/relationships/hyperlink" Id="rId29" Target="https://x.com/BitcoinRoatan/status/2085058918938751089" TargetMode="External" /><Relationship Type="http://schemas.openxmlformats.org/officeDocument/2006/relationships/hyperlink" Id="rId30" Target="https://x.com/btcmap/status/2085085426658808264" TargetMode="External" /><Relationship Type="http://schemas.openxmlformats.org/officeDocument/2006/relationships/hyperlink" Id="rId25" Target="https://x.com/sisonkeBTC/status/2084945136857829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s://blog.btcmap.org/posts/2026-07/" TargetMode="External" /><Relationship Type="http://schemas.openxmlformats.org/officeDocument/2006/relationships/hyperlink" Id="rId26" Target="https://btcmap.org/merchant/31296" TargetMode="External" /><Relationship Type="http://schemas.openxmlformats.org/officeDocument/2006/relationships/hyperlink" Id="rId28" Target="https://btcmap.org/merchant/34742" TargetMode="External" /><Relationship Type="http://schemas.openxmlformats.org/officeDocument/2006/relationships/hyperlink" Id="rId27" Target="https://x.com/BitBiashara/status/2085027632907764162" TargetMode="External" /><Relationship Type="http://schemas.openxmlformats.org/officeDocument/2006/relationships/hyperlink" Id="rId32" Target="https://x.com/BitcoinBerlinSV/status/2085197547593674766" TargetMode="External" /><Relationship Type="http://schemas.openxmlformats.org/officeDocument/2006/relationships/hyperlink" Id="rId29" Target="https://x.com/BitcoinRoatan/status/2085058918938751089" TargetMode="External" /><Relationship Type="http://schemas.openxmlformats.org/officeDocument/2006/relationships/hyperlink" Id="rId30" Target="https://x.com/btcmap/status/2085085426658808264" TargetMode="External" /><Relationship Type="http://schemas.openxmlformats.org/officeDocument/2006/relationships/hyperlink" Id="rId25" Target="https://x.com/sisonkeBTC/status/2084945136857829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Everyday Bitcoin Payments Surface in Randwest and Nairobi as BTC Map Adds 502 Merchant Records</dc:title>
  <dc:creator>Bitcoin Payment Adoption Tracker</dc:creator>
  <cp:keywords/>
  <dcterms:created xsi:type="dcterms:W3CDTF">2026-08-26T16:48:17Z</dcterms:created>
  <dcterms:modified xsi:type="dcterms:W3CDTF">2026-08-26T16:48:17Z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2026-08-06</vt:lpwstr>
  </property>
</Properties>
</file>