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Everyday Lightning Spending Meets a Security Reset and Cross-Border Friction</w:t>
      </w:r>
    </w:p>
    <w:p>
      <w:pPr>
        <w:pStyle w:val="Author"/>
      </w:pPr>
      <w:r>
        <w:t xml:space="preserve">Bitcoin Payment Adoption Tracker</w:t>
      </w:r>
    </w:p>
    <w:p>
      <w:pPr>
        <w:pStyle w:val="Date"/>
      </w:pPr>
      <w:r>
        <w:t xml:space="preserve">2026-08-17</w:t>
      </w:r>
    </w:p>
    <w:bookmarkStart w:id="39" w:name="Xaf198fc99f5d89ffa9067959ad920fc89ec5c22"/>
    <w:p>
      <w:pPr>
        <w:pStyle w:val="Heading1"/>
      </w:pPr>
      <w:r>
        <w:t xml:space="preserve">Everyday Lightning Spending Meets a Security Reset and Cross-Border Friction</w:t>
      </w:r>
    </w:p>
    <w:p>
      <w:pPr>
        <w:pStyle w:val="FirstParagraph"/>
      </w:pPr>
      <w:r>
        <w:rPr>
          <w:iCs/>
          <w:i/>
        </w:rPr>
        <w:t xml:space="preserve">By Bitcoin Payment Adoption Tracker • August 17, 2026</w:t>
      </w:r>
    </w:p>
    <w:p>
      <w:pPr>
        <w:pStyle w:val="BodyText"/>
      </w:pPr>
      <w:r>
        <w:t xml:space="preserve">This brief tracks household and merchant-level Bitcoin spending across community networks, the infrastructure changes and security events shaping payment continuity, and a South African draft that could affect cross-border crypto payments.</w:t>
      </w:r>
    </w:p>
    <w:bookmarkStart w:id="20" w:name="major-adoption-news"/>
    <w:p>
      <w:pPr>
        <w:pStyle w:val="Heading2"/>
      </w:pPr>
      <w:r>
        <w:t xml:space="preserve">Major Adoption News</w:t>
      </w:r>
    </w:p>
    <w:p>
      <w:pPr>
        <w:pStyle w:val="FirstParagraph"/>
      </w:pPr>
      <w:r>
        <w:t xml:space="preserve">Blink’s weekly brief reports a first restaurant payment in Mossel Bay: a visitor paid at Blaize &amp; Barrel using a self-hosted BTCPay Server and a Bolt Card. The source frames it as a single-restaurant payment, making it concrete proof of use rather than evidence of transaction scale. [1]</w:t>
      </w:r>
    </w:p>
    <w:p>
      <w:pPr>
        <w:pStyle w:val="BodyText"/>
      </w:pPr>
      <w:r>
        <w:t xml:space="preserve">The clearest current pattern is community-scale endpoint use. Bitcoin Victoria Falls posted</w:t>
      </w:r>
      <w:r>
        <w:t xml:space="preserve"> </w:t>
      </w:r>
      <w:r>
        <w:t xml:space="preserve">“</w:t>
      </w:r>
      <w:r>
        <w:t xml:space="preserve">Getting some snacks with Bitcoin</w:t>
      </w:r>
      <w:r>
        <w:t xml:space="preserve">”</w:t>
      </w:r>
      <w:r>
        <w:t xml:space="preserve"> </w:t>
      </w:r>
      <w:r>
        <w:t xml:space="preserve">and supplied</w:t>
      </w:r>
      <w:r>
        <w:t xml:space="preserve"> </w:t>
      </w:r>
      <w:r>
        <w:rPr>
          <w:rStyle w:val="VerbatimChar"/>
        </w:rPr>
        <w:t xml:space="preserve">firstspringenterprise@blink.sv</w:t>
      </w:r>
      <w:r>
        <w:t xml:space="preserve">; the linked BTC Map page renders the merchant as First Sping Enterprise at John Hunt Way, Livingstone, shows Lightning acceptance, and offers a Verify Location action. The listing is associated with Bitcoin Victoria Falls and records creation by Bitcoin Diary 18 days ago. [2, 3]</w:t>
      </w:r>
    </w:p>
    <w:p>
      <w:pPr>
        <w:pStyle w:val="BodyText"/>
      </w:pPr>
      <w:r>
        <w:t xml:space="preserve">A second Victoria Falls post supplied</w:t>
      </w:r>
      <w:r>
        <w:t xml:space="preserve"> </w:t>
      </w:r>
      <w:r>
        <w:rPr>
          <w:rStyle w:val="VerbatimChar"/>
        </w:rPr>
        <w:t xml:space="preserve">gmgeneraldealers@blink.sv</w:t>
      </w:r>
      <w:r>
        <w:t xml:space="preserve">; BTC Map names JM General Dealers at Dambwa Central Market, Livingstone, and displays Lightning and Bitcoin acceptance icons plus contactless payment. Its page retains a Verify Location action dated 21 March 2025, so the current post is better read as a community endpoint showcase than proof of a newly verified onboarding. [4, 5]</w:t>
      </w:r>
    </w:p>
    <w:p>
      <w:pPr>
        <w:pStyle w:val="BodyText"/>
      </w:pPr>
      <w:r>
        <w:t xml:space="preserve">BTC Shule reported a more explicit household transaction: a mother bought flour and soap with Bitcoin sats via Fedi at</w:t>
      </w:r>
      <w:r>
        <w:t xml:space="preserve"> </w:t>
      </w:r>
      <w:r>
        <w:rPr>
          <w:rStyle w:val="VerbatimChar"/>
        </w:rPr>
        <w:t xml:space="preserve">yanusi7@blink.sv</w:t>
      </w:r>
      <w:r>
        <w:t xml:space="preserve">. The linked record names Kwa Jiyeve in Winteko, shows Lightning acceptance and BTC Shule attribution, and asks users to verify the location; its activity says the listing was created a year ago. That is direct payment-use evidence, but not a merchant-growth count. [6, 7]</w:t>
      </w:r>
    </w:p>
    <w:p>
      <w:pPr>
        <w:pStyle w:val="BodyText"/>
      </w:pPr>
      <w:r>
        <w:t xml:space="preserve">Bitcoin Karoo’s</w:t>
      </w:r>
      <w:r>
        <w:t xml:space="preserve"> </w:t>
      </w:r>
      <w:r>
        <w:rPr>
          <w:rStyle w:val="VerbatimChar"/>
        </w:rPr>
        <w:t xml:space="preserve">#spedn</w:t>
      </w:r>
      <w:r>
        <w:t xml:space="preserve"> </w:t>
      </w:r>
      <w:r>
        <w:t xml:space="preserve">post points to Herries, which BTC Map places at 5 Schoeman St, De Rust 6650, with Lightning and Bitcoin acceptance icons plus contactless payment. The record is attributed to Bitcoin Karoo and also carries a Verify Location action. Across the set, Blink addresses paired with directory listings form a lightweight path to local acceptance, but verification and activity metadata make endpoint reach—not newly onboarded merchants—the defensible measure. [8, 9]</w:t>
      </w:r>
    </w:p>
    <w:bookmarkEnd w:id="20"/>
    <w:bookmarkStart w:id="21" w:name="payment-infrastructure"/>
    <w:p>
      <w:pPr>
        <w:pStyle w:val="Heading2"/>
      </w:pPr>
      <w:r>
        <w:t xml:space="preserve">Payment Infrastructure</w:t>
      </w:r>
    </w:p>
    <w:p>
      <w:pPr>
        <w:pStyle w:val="FirstParagraph"/>
      </w:pPr>
      <w:r>
        <w:t xml:space="preserve">The principal infrastructure risk is a BTCPay security failure. Blink’s current weekly brief says BTCPay confirmed that a critical vulnerability present in every prior version had been actively exploited, allowing an unauthenticated attacker to obtain LND macaroon credentials and move funds. It describes the issue as specific to LND deployments, says on-chain and hot wallets were unaffected, and calls for BTCPay 2.4.2 and LND 0.21.1 updates. This is an operator-security and continuity problem, not evidence that Lightning settlement as a whole failed. [10, 1]</w:t>
      </w:r>
    </w:p>
    <w:p>
      <w:pPr>
        <w:pStyle w:val="BodyText"/>
      </w:pPr>
      <w:r>
        <w:t xml:space="preserve">The offsetting deployment signal is Blink’s BTCPay plugin v1.1.0: a merchant can connect a non-custodial Blink Lightning address without running a node or holding an API key and receive on mainnet. The tradeoff is material—receiving is receive-only, with no refunds or payouts through outbound Pull Payments, and settlement is detected by polling, usually within seconds and occasionally about a minute. [1]</w:t>
      </w:r>
    </w:p>
    <w:p>
      <w:pPr>
        <w:pStyle w:val="BodyText"/>
      </w:pPr>
      <w:r>
        <w:t xml:space="preserve">Lightning’s payment surface is also extending to machine-to-machine access. Lightning Enable says L402 can authorize a small paid API request without a new account, card on file or permanent profile, using per-request payment to reduce account friction. The post describes a payment model, not deployment or usage volume. [11]</w:t>
      </w:r>
    </w:p>
    <w:p>
      <w:pPr>
        <w:pStyle w:val="BodyText"/>
      </w:pPr>
      <w:r>
        <w:t xml:space="preserve">Continuity pressure is visible elsewhere. Cuba’s non-custodial P2P Lightning exchange lnp2pBot halted activity indefinitely after attacks and a lack of resources to keep facing AI-assisted attackers; its operators said pending payments would be resolved and losses absorbed, and the source explicitly says the shutdown was not a government ban. [1] Wallet of Satoshi’s migration is another merchant-impacting change: new invoice creation is already disabled in the US, EU, Australia and New Zealand, the rest of the world is scheduled for the end of September, and WoS Point of Sale payments stop when each region switches. The old wallet can still send balances until 30 June 2027, while the replacement is self-custodial. [1]</w:t>
      </w:r>
    </w:p>
    <w:p>
      <w:pPr>
        <w:pStyle w:val="BodyText"/>
      </w:pPr>
      <w:r>
        <w:t xml:space="preserve">The security burden is measurable even where payment failure is not. A Bitcoin Red Team scan covered 501 projects and produced 7,958 findings, including 1,280 rated high or critical; the brief characterizes these as defensive findings rather than payment failures. [1]</w:t>
      </w:r>
    </w:p>
    <w:bookmarkEnd w:id="21"/>
    <w:bookmarkStart w:id="22" w:name="regulatory-landscape"/>
    <w:p>
      <w:pPr>
        <w:pStyle w:val="Heading2"/>
      </w:pPr>
      <w:r>
        <w:t xml:space="preserve">Regulatory Landscape</w:t>
      </w:r>
    </w:p>
    <w:p>
      <w:pPr>
        <w:pStyle w:val="FirstParagraph"/>
      </w:pPr>
      <w:r>
        <w:t xml:space="preserve">South Africa is the period’s clearest regulatory signal. Blink’s brief describes a National Treasury/SARB draft published on 3 August, with comments due 30 September, that would require offshore crypto payments to be declared through authorised providers and reported to SARB’s FinSurv. It would treat transfers from local providers such as Luno or VALR to an offshore network or a self-custody wallet as cross-border transactions within existing R2 million Single Discretionary and R10 million Foreign Capital ceilings. The proposal is explicitly a draft, covers crypto broadly rather than Bitcoin specifically, and describes purely domestic transfers between local providers as non-reportable. [1]</w:t>
      </w:r>
    </w:p>
    <w:p>
      <w:pPr>
        <w:pStyle w:val="BodyText"/>
      </w:pPr>
      <w:r>
        <w:t xml:space="preserve">For payment viability, this is potential compliance friction rather than an enacted Bitcoin rule. MoneyBadger’s CEO called the restrictions</w:t>
      </w:r>
      <w:r>
        <w:t xml:space="preserve"> </w:t>
      </w:r>
      <w:r>
        <w:t xml:space="preserve">“</w:t>
      </w:r>
      <w:r>
        <w:t xml:space="preserve">disproportionate and poorly justified</w:t>
      </w:r>
      <w:r>
        <w:t xml:space="preserve">”</w:t>
      </w:r>
      <w:r>
        <w:t xml:space="preserve"> </w:t>
      </w:r>
      <w:r>
        <w:t xml:space="preserve">and warned they could push legitimate cross-border crypto payments back toward conventional banking; that is an interested party’s assessment, not a regulatory finding. [1]</w:t>
      </w:r>
    </w:p>
    <w:bookmarkEnd w:id="22"/>
    <w:bookmarkStart w:id="23" w:name="usage-metrics"/>
    <w:p>
      <w:pPr>
        <w:pStyle w:val="Heading2"/>
      </w:pPr>
      <w:r>
        <w:t xml:space="preserve">Usage Metrics</w:t>
      </w:r>
    </w:p>
    <w:p>
      <w:pPr>
        <w:pStyle w:val="FirstParagraph"/>
      </w:pPr>
      <w:r>
        <w:t xml:space="preserve">The current evidence supplies two explicit spending reports—snacks in Livingstone and flour and soap bought through Fedi—and two additional merchant-endpoint posts for JM General Dealers and Herries. The posts provide no sat value, transaction count, repeat-use frequency or aggregate merchant-adoption rate, so they support event-level usage and geographic reach rather than a growth series. [2, 6, 4, 8]</w:t>
      </w:r>
    </w:p>
    <w:p>
      <w:pPr>
        <w:pStyle w:val="BodyText"/>
      </w:pPr>
      <w:r>
        <w:t xml:space="preserve">The available numeric signal is instead infrastructural: the 501-project, 7,958-finding security scan. It should not be repurposed as a payment-usage metric. [1]</w:t>
      </w:r>
    </w:p>
    <w:bookmarkEnd w:id="23"/>
    <w:bookmarkStart w:id="24" w:name="emerging-markets"/>
    <w:p>
      <w:pPr>
        <w:pStyle w:val="Heading2"/>
      </w:pPr>
      <w:r>
        <w:t xml:space="preserve">Emerging Markets</w:t>
      </w:r>
    </w:p>
    <w:p>
      <w:pPr>
        <w:pStyle w:val="FirstParagraph"/>
      </w:pPr>
      <w:r>
        <w:t xml:space="preserve">The emerging-market pattern is community-led distribution rather than a documented national rollout: local organizers pair Blink Lightning addresses, BTC Map discovery and practical goods or restaurant payments. The Livingstone endpoints, the BTC Shule household purchase in Winteko and the Bitcoin Karoo listing in De Rust show the same basic model while differing in verification status and evidence of actual use. [2, 4, 6, 8]</w:t>
      </w:r>
    </w:p>
    <w:p>
      <w:pPr>
        <w:pStyle w:val="BodyText"/>
      </w:pPr>
      <w:r>
        <w:t xml:space="preserve">MOTIV Perú announced</w:t>
      </w:r>
      <w:r>
        <w:t xml:space="preserve"> </w:t>
      </w:r>
      <w:r>
        <w:t xml:space="preserve">“</w:t>
      </w:r>
      <w:r>
        <w:t xml:space="preserve">Bitcoin City Adoption in Huanchaco</w:t>
      </w:r>
      <w:r>
        <w:t xml:space="preserve">”</w:t>
      </w:r>
      <w:r>
        <w:t xml:space="preserve"> </w:t>
      </w:r>
      <w:r>
        <w:t xml:space="preserve">after saying this year’s Copa Bitcoin Surfing Edition would not take place; it also previewed a volleyball edition. The Huanchaco initiative is a relevant city-level adoption signal, but the post gives no merchants, payment processor or implementation timetable, so its business impact remains unquantified. [12]</w:t>
      </w:r>
    </w:p>
    <w:bookmarkEnd w:id="24"/>
    <w:bookmarkStart w:id="38" w:name="adoption-outlook"/>
    <w:p>
      <w:pPr>
        <w:pStyle w:val="Heading2"/>
      </w:pPr>
      <w:r>
        <w:t xml:space="preserve">Adoption Outlook</w:t>
      </w:r>
    </w:p>
    <w:p>
      <w:pPr>
        <w:pStyle w:val="FirstParagraph"/>
      </w:pPr>
      <w:r>
        <w:t xml:space="preserve">The payment-access layer is advancing at the edge: merchants and households are using Blink-linked Lightning endpoints, a non-custodial BTCPay receiving path lowers infrastructure requirements, and L402 proposes per-request machine payments. [6, 1, 11]</w:t>
      </w:r>
    </w:p>
    <w:p>
      <w:pPr>
        <w:pStyle w:val="BodyText"/>
      </w:pPr>
      <w:r>
        <w:t xml:space="preserve">The limiting signal is equally concrete. BTCPay’s exploited vulnerability, lnp2pBot’s indefinite shutdown, Wallet of Satoshi’s regional POS migration and the unverified or aged directory records show that custody, patching and data quality remain part of payment viability. The defensible conclusion is expanding access and experimentation—not yet measured ecosystem growth. [1, 5, 7]</w:t>
      </w:r>
    </w:p>
    <w:p>
      <w:r>
        <w:pict>
          <v:rect style="width:0;height:1.5pt" o:hralign="center" o:hrstd="t" o:hr="t"/>
        </w:pict>
      </w:r>
    </w:p>
    <w:bookmarkStart w:id="37" w:name="sources"/>
    <w:p>
      <w:pPr>
        <w:pStyle w:val="Heading3"/>
      </w:pPr>
      <w:r>
        <w:t xml:space="preserve">Sources</w:t>
      </w:r>
    </w:p>
    <w:p>
      <w:pPr>
        <w:numPr>
          <w:ilvl w:val="0"/>
          <w:numId w:val="1001"/>
        </w:numPr>
        <w:pStyle w:val="Compact"/>
      </w:pPr>
      <w:hyperlink r:id="rId25">
        <w:r>
          <w:rPr>
            <w:rStyle w:val="Hyperlink"/>
          </w:rPr>
          <w:t xml:space="preserve">Weekly Brief 2026/33</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@BitcoinVicFalls</w:t>
        </w:r>
      </w:hyperlink>
    </w:p>
    <w:p>
      <w:pPr>
        <w:numPr>
          <w:ilvl w:val="0"/>
          <w:numId w:val="1001"/>
        </w:numPr>
        <w:pStyle w:val="Compact"/>
      </w:pPr>
      <w:hyperlink r:id="rId27">
        <w:r>
          <w:rPr>
            <w:rStyle w:val="Hyperlink"/>
          </w:rPr>
          <w:t xml:space="preserve">First Sping Enterprise - BTC Map</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@BitcoinVicFalls</w:t>
        </w:r>
      </w:hyperlink>
    </w:p>
    <w:p>
      <w:pPr>
        <w:numPr>
          <w:ilvl w:val="0"/>
          <w:numId w:val="1001"/>
        </w:numPr>
        <w:pStyle w:val="Compact"/>
      </w:pPr>
      <w:hyperlink r:id="rId29">
        <w:r>
          <w:rPr>
            <w:rStyle w:val="Hyperlink"/>
          </w:rPr>
          <w:t xml:space="preserve">JM General Dealers - BTC Map</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@btcshule</w:t>
        </w:r>
      </w:hyperlink>
    </w:p>
    <w:p>
      <w:pPr>
        <w:numPr>
          <w:ilvl w:val="0"/>
          <w:numId w:val="1001"/>
        </w:numPr>
        <w:pStyle w:val="Compact"/>
      </w:pPr>
      <w:hyperlink r:id="rId31">
        <w:r>
          <w:rPr>
            <w:rStyle w:val="Hyperlink"/>
          </w:rPr>
          <w:t xml:space="preserve">Kwa Jiyeve - BTC Map</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@BitcoinKaroo</w:t>
        </w:r>
      </w:hyperlink>
    </w:p>
    <w:p>
      <w:pPr>
        <w:numPr>
          <w:ilvl w:val="0"/>
          <w:numId w:val="1001"/>
        </w:numPr>
        <w:pStyle w:val="Compact"/>
      </w:pPr>
      <w:hyperlink r:id="rId33">
        <w:r>
          <w:rPr>
            <w:rStyle w:val="Hyperlink"/>
          </w:rPr>
          <w:t xml:space="preserve">Herries - BTC Map</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@blinkbtc</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@lightningenable</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@MotivPeru</w:t>
        </w:r>
      </w:hyperlink>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btcmap.org/merchant/21589" TargetMode="External" /><Relationship Type="http://schemas.openxmlformats.org/officeDocument/2006/relationships/hyperlink" Id="rId29" Target="https://btcmap.org/merchant/24443" TargetMode="External" /><Relationship Type="http://schemas.openxmlformats.org/officeDocument/2006/relationships/hyperlink" Id="rId31" Target="https://btcmap.org/merchant/26332" TargetMode="External" /><Relationship Type="http://schemas.openxmlformats.org/officeDocument/2006/relationships/hyperlink" Id="rId27" Target="https://btcmap.org/merchant/41993" TargetMode="External" /><Relationship Type="http://schemas.openxmlformats.org/officeDocument/2006/relationships/hyperlink" Id="rId25" Target="https://www.blink.sv/blog/weekly-brief-2026-33" TargetMode="External" /><Relationship Type="http://schemas.openxmlformats.org/officeDocument/2006/relationships/hyperlink" Id="rId32" Target="https://x.com/BitcoinKaroo/status/2088913981691789576" TargetMode="External" /><Relationship Type="http://schemas.openxmlformats.org/officeDocument/2006/relationships/hyperlink" Id="rId26" Target="https://x.com/BitcoinVicFalls/status/2089030093574217794" TargetMode="External" /><Relationship Type="http://schemas.openxmlformats.org/officeDocument/2006/relationships/hyperlink" Id="rId28" Target="https://x.com/BitcoinVicFalls/status/2089030096413687867" TargetMode="External" /><Relationship Type="http://schemas.openxmlformats.org/officeDocument/2006/relationships/hyperlink" Id="rId36" Target="https://x.com/MotivPeru/status/2089082259907174898" TargetMode="External" /><Relationship Type="http://schemas.openxmlformats.org/officeDocument/2006/relationships/hyperlink" Id="rId34" Target="https://x.com/blinkbtc/status/2088909405869756861" TargetMode="External" /><Relationship Type="http://schemas.openxmlformats.org/officeDocument/2006/relationships/hyperlink" Id="rId30" Target="https://x.com/btcshule/status/2089068325280084025" TargetMode="External" /><Relationship Type="http://schemas.openxmlformats.org/officeDocument/2006/relationships/hyperlink" Id="rId35" Target="https://x.com/lightningenable/status/2089199950764581058" TargetMode="External" /></Relationships>
</file>

<file path=word/_rels/footnotes.xml.rels><?xml version="1.0" encoding="UTF-8"?><Relationships xmlns="http://schemas.openxmlformats.org/package/2006/relationships"><Relationship Type="http://schemas.openxmlformats.org/officeDocument/2006/relationships/hyperlink" Id="rId33" Target="https://btcmap.org/merchant/21589" TargetMode="External" /><Relationship Type="http://schemas.openxmlformats.org/officeDocument/2006/relationships/hyperlink" Id="rId29" Target="https://btcmap.org/merchant/24443" TargetMode="External" /><Relationship Type="http://schemas.openxmlformats.org/officeDocument/2006/relationships/hyperlink" Id="rId31" Target="https://btcmap.org/merchant/26332" TargetMode="External" /><Relationship Type="http://schemas.openxmlformats.org/officeDocument/2006/relationships/hyperlink" Id="rId27" Target="https://btcmap.org/merchant/41993" TargetMode="External" /><Relationship Type="http://schemas.openxmlformats.org/officeDocument/2006/relationships/hyperlink" Id="rId25" Target="https://www.blink.sv/blog/weekly-brief-2026-33" TargetMode="External" /><Relationship Type="http://schemas.openxmlformats.org/officeDocument/2006/relationships/hyperlink" Id="rId32" Target="https://x.com/BitcoinKaroo/status/2088913981691789576" TargetMode="External" /><Relationship Type="http://schemas.openxmlformats.org/officeDocument/2006/relationships/hyperlink" Id="rId26" Target="https://x.com/BitcoinVicFalls/status/2089030093574217794" TargetMode="External" /><Relationship Type="http://schemas.openxmlformats.org/officeDocument/2006/relationships/hyperlink" Id="rId28" Target="https://x.com/BitcoinVicFalls/status/2089030096413687867" TargetMode="External" /><Relationship Type="http://schemas.openxmlformats.org/officeDocument/2006/relationships/hyperlink" Id="rId36" Target="https://x.com/MotivPeru/status/2089082259907174898" TargetMode="External" /><Relationship Type="http://schemas.openxmlformats.org/officeDocument/2006/relationships/hyperlink" Id="rId34" Target="https://x.com/blinkbtc/status/2088909405869756861" TargetMode="External" /><Relationship Type="http://schemas.openxmlformats.org/officeDocument/2006/relationships/hyperlink" Id="rId30" Target="https://x.com/btcshule/status/2089068325280084025" TargetMode="External" /><Relationship Type="http://schemas.openxmlformats.org/officeDocument/2006/relationships/hyperlink" Id="rId35" Target="https://x.com/lightningenable/status/208919995076458105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Everyday Lightning Spending Meets a Security Reset and Cross-Border Friction</dc:title>
  <dc:creator>Bitcoin Payment Adoption Tracker</dc:creator>
  <cp:keywords/>
  <dcterms:created xsi:type="dcterms:W3CDTF">2026-08-25T07:20:06Z</dcterms:created>
  <dcterms:modified xsi:type="dcterms:W3CDTF">2026-08-25T07:20:06Z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2026-08-17</vt:lpwstr>
  </property>
</Properties>
</file>