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Everyday Lightning Spending Surfaces Across African Community Merchants</w:t>
      </w:r>
    </w:p>
    <w:p>
      <w:pPr>
        <w:pStyle w:val="Author"/>
      </w:pPr>
      <w:r>
        <w:t xml:space="preserve">Bitcoin Payment Adoption Tracker</w:t>
      </w:r>
    </w:p>
    <w:p>
      <w:pPr>
        <w:pStyle w:val="Date"/>
      </w:pPr>
      <w:r>
        <w:t xml:space="preserve">2026-08-16</w:t>
      </w:r>
    </w:p>
    <w:bookmarkStart w:id="34" w:name="X0dcb796eaa710b20017ea6673821f0692cfa12b"/>
    <w:p>
      <w:pPr>
        <w:pStyle w:val="Heading1"/>
      </w:pPr>
      <w:r>
        <w:t xml:space="preserve">Everyday Lightning Spending Surfaces Across African Community Merchants</w:t>
      </w:r>
    </w:p>
    <w:p>
      <w:pPr>
        <w:pStyle w:val="FirstParagraph"/>
      </w:pPr>
      <w:r>
        <w:rPr>
          <w:iCs/>
          <w:i/>
        </w:rPr>
        <w:t xml:space="preserve">By Bitcoin Payment Adoption Tracker • August 16, 2026</w:t>
      </w:r>
    </w:p>
    <w:p>
      <w:pPr>
        <w:pStyle w:val="BodyText"/>
      </w:pPr>
      <w:r>
        <w:t xml:space="preserve">Current posts document food and produce purchases through SPEDN/Blink-linked Lightning endpoints in Calabar, a Nairobi-linked network and Randwest, while linked merchant records expose verification and onboarding caveats.</w:t>
      </w:r>
    </w:p>
    <w:bookmarkStart w:id="20" w:name="major-adoption-news"/>
    <w:p>
      <w:pPr>
        <w:pStyle w:val="Heading2"/>
      </w:pPr>
      <w:r>
        <w:t xml:space="preserve">Major Adoption News</w:t>
      </w:r>
    </w:p>
    <w:p>
      <w:pPr>
        <w:pStyle w:val="FirstParagraph"/>
      </w:pPr>
      <w:r>
        <w:rPr>
          <w:bCs/>
          <w:b/>
        </w:rPr>
        <w:t xml:space="preserve">The clearest current signal is ordinary food spending through community merchant networks, rather than a country-level rollout.</w:t>
      </w:r>
      <w:r>
        <w:t xml:space="preserve"> </w:t>
      </w:r>
      <w:r>
        <w:t xml:space="preserve">The period contains posts describing dinner in Calabar, a family-food purchase at Grandsmatt, and fruit purchases in the Bitcoin Sisonke network. [1, 2, 3]</w:t>
      </w:r>
    </w:p>
    <w:p>
      <w:pPr>
        <w:pStyle w:val="BodyText"/>
      </w:pPr>
      <w:r>
        <w:t xml:space="preserve">At</w:t>
      </w:r>
      <w:r>
        <w:t xml:space="preserve"> </w:t>
      </w:r>
      <w:r>
        <w:rPr>
          <w:bCs/>
          <w:b/>
        </w:rPr>
        <w:t xml:space="preserve">Chef Green Signature Local Cuisine Hub, Atekong Junction, Calabar</w:t>
      </w:r>
      <w:r>
        <w:t xml:space="preserve">, Bitcoin Calabar describes paying sats for dinner as a</w:t>
      </w:r>
      <w:r>
        <w:t xml:space="preserve"> </w:t>
      </w:r>
      <w:r>
        <w:t xml:space="preserve">“</w:t>
      </w:r>
      <w:r>
        <w:t xml:space="preserve">daily norm</w:t>
      </w:r>
      <w:r>
        <w:t xml:space="preserve">”</w:t>
      </w:r>
      <w:r>
        <w:t xml:space="preserve"> </w:t>
      </w:r>
      <w:r>
        <w:t xml:space="preserve">and supplies the Blink handle</w:t>
      </w:r>
      <w:r>
        <w:t xml:space="preserve"> </w:t>
      </w:r>
      <w:r>
        <w:rPr>
          <w:rStyle w:val="VerbatimChar"/>
        </w:rPr>
        <w:t xml:space="preserve">chefgreensignature@blink.sv</w:t>
      </w:r>
      <w:r>
        <w:t xml:space="preserve">. The linked BTC Map record displays Lightning and Bitcoin acceptance indicators, lists evening opening hours, and retains a</w:t>
      </w:r>
      <w:r>
        <w:t xml:space="preserve"> </w:t>
      </w:r>
      <w:r>
        <w:t xml:space="preserve">“</w:t>
      </w:r>
      <w:r>
        <w:t xml:space="preserve">Verify Location</w:t>
      </w:r>
      <w:r>
        <w:t xml:space="preserve">”</w:t>
      </w:r>
      <w:r>
        <w:t xml:space="preserve"> </w:t>
      </w:r>
      <w:r>
        <w:t xml:space="preserve">prompt. [1, 4] This is the strongest repeat-use signal in the set—an account’s characterization of routine spending, not a reported transaction series.</w:t>
      </w:r>
    </w:p>
    <w:p>
      <w:pPr>
        <w:pStyle w:val="BodyText"/>
      </w:pPr>
      <w:r>
        <w:t xml:space="preserve">In a</w:t>
      </w:r>
      <w:r>
        <w:t xml:space="preserve"> </w:t>
      </w:r>
      <w:r>
        <w:rPr>
          <w:bCs/>
          <w:b/>
        </w:rPr>
        <w:t xml:space="preserve">Nairobi-linked community network</w:t>
      </w:r>
      <w:r>
        <w:t xml:space="preserve">, BitBiashara posted Shakillah buying food for her family at Grandsmatt, using the</w:t>
      </w:r>
      <w:r>
        <w:t xml:space="preserve"> </w:t>
      </w:r>
      <w:r>
        <w:rPr>
          <w:rStyle w:val="VerbatimChar"/>
        </w:rPr>
        <w:t xml:space="preserve">#spedn</w:t>
      </w:r>
      <w:r>
        <w:t xml:space="preserve"> </w:t>
      </w:r>
      <w:r>
        <w:t xml:space="preserve">tag and</w:t>
      </w:r>
      <w:r>
        <w:t xml:space="preserve"> </w:t>
      </w:r>
      <w:r>
        <w:rPr>
          <w:rStyle w:val="VerbatimChar"/>
        </w:rPr>
        <w:t xml:space="preserve">Dachar@blink.sv</w:t>
      </w:r>
      <w:r>
        <w:t xml:space="preserve">. [2] The attached record displays Lightning acceptance and connects Grandsmatt to Bitcoin Dada Nairobi, The Core, Bitcoin Nairobi and Bitbiashara. It shows a location-verification prompt and community links but no street address in the displayed details. [5] The post is therefore a concrete household-spending use case, but not proof of a newly onboarded or precisely located merchant.</w:t>
      </w:r>
    </w:p>
    <w:p>
      <w:pPr>
        <w:pStyle w:val="BodyText"/>
      </w:pPr>
      <w:r>
        <w:t xml:space="preserve">Bitcoin Sisonke framed</w:t>
      </w:r>
      <w:r>
        <w:t xml:space="preserve"> </w:t>
      </w:r>
      <w:r>
        <w:rPr>
          <w:bCs/>
          <w:b/>
        </w:rPr>
        <w:t xml:space="preserve">fruit purchases at a community merchant in Randwest 1759</w:t>
      </w:r>
      <w:r>
        <w:t xml:space="preserve"> </w:t>
      </w:r>
      <w:r>
        <w:t xml:space="preserve">as</w:t>
      </w:r>
      <w:r>
        <w:t xml:space="preserve"> </w:t>
      </w:r>
      <w:r>
        <w:t xml:space="preserve">“</w:t>
      </w:r>
      <w:r>
        <w:t xml:space="preserve">Bitcoin as everyday money,</w:t>
      </w:r>
      <w:r>
        <w:t xml:space="preserve">”</w:t>
      </w:r>
      <w:r>
        <w:t xml:space="preserve"> </w:t>
      </w:r>
      <w:r>
        <w:t xml:space="preserve">enabled by Lightning and the Blink address</w:t>
      </w:r>
      <w:r>
        <w:t xml:space="preserve"> </w:t>
      </w:r>
      <w:r>
        <w:rPr>
          <w:rStyle w:val="VerbatimChar"/>
        </w:rPr>
        <w:t xml:space="preserve">Mucambe@blink.sv</w:t>
      </w:r>
      <w:r>
        <w:t xml:space="preserve">. [3] The linked BTC Map record calls the merchant</w:t>
      </w:r>
      <w:r>
        <w:t xml:space="preserve"> </w:t>
      </w:r>
      <w:r>
        <w:t xml:space="preserve">“</w:t>
      </w:r>
      <w:r>
        <w:t xml:space="preserve">Mkambi,</w:t>
      </w:r>
      <w:r>
        <w:t xml:space="preserve">”</w:t>
      </w:r>
      <w:r>
        <w:t xml:space="preserve"> </w:t>
      </w:r>
      <w:r>
        <w:t xml:space="preserve">lists Folly Ledwaba Street, Randwest 1759, shows Lightning acceptance, and attributes the listing to Proof of Bitcoin and Bitcoin Sisonke. [6] The Mucambe/Mkambi spelling mismatch and the record’s verification prompt mean the merchant identity should be checked before using it in an adoption count.</w:t>
      </w:r>
    </w:p>
    <w:bookmarkEnd w:id="20"/>
    <w:bookmarkStart w:id="21" w:name="payment-infrastructure"/>
    <w:p>
      <w:pPr>
        <w:pStyle w:val="Heading2"/>
      </w:pPr>
      <w:r>
        <w:t xml:space="preserve">Payment Infrastructure</w:t>
      </w:r>
    </w:p>
    <w:p>
      <w:pPr>
        <w:pStyle w:val="FirstParagraph"/>
      </w:pPr>
      <w:r>
        <w:t xml:space="preserve">The period’s infrastructure signal is deployment at the edge: #SPEDN-tagged posts repeatedly pair Blink-linked payment handles with BTC Map merchant discovery. The examples are</w:t>
      </w:r>
      <w:r>
        <w:t xml:space="preserve"> </w:t>
      </w:r>
      <w:r>
        <w:rPr>
          <w:rStyle w:val="VerbatimChar"/>
        </w:rPr>
        <w:t xml:space="preserve">chefgreensignature@blink.sv</w:t>
      </w:r>
      <w:r>
        <w:t xml:space="preserve"> </w:t>
      </w:r>
      <w:r>
        <w:t xml:space="preserve">in Calabar,</w:t>
      </w:r>
      <w:r>
        <w:t xml:space="preserve"> </w:t>
      </w:r>
      <w:r>
        <w:rPr>
          <w:rStyle w:val="VerbatimChar"/>
        </w:rPr>
        <w:t xml:space="preserve">Dachar@blink.sv</w:t>
      </w:r>
      <w:r>
        <w:t xml:space="preserve"> </w:t>
      </w:r>
      <w:r>
        <w:t xml:space="preserve">at Grandsmatt, and</w:t>
      </w:r>
      <w:r>
        <w:t xml:space="preserve"> </w:t>
      </w:r>
      <w:r>
        <w:rPr>
          <w:rStyle w:val="VerbatimChar"/>
        </w:rPr>
        <w:t xml:space="preserve">Mucambe@blink.sv</w:t>
      </w:r>
      <w:r>
        <w:t xml:space="preserve"> </w:t>
      </w:r>
      <w:r>
        <w:t xml:space="preserve">in the Sisonke post; the latter explicitly attributes everyday community spending to Lightning. [1, 2, 3] This combination gives local merchants a human-readable endpoint and a discoverable listing, but the current evidence does not provide processor-wide volume, fee, speed or reliability measurements.</w:t>
      </w:r>
    </w:p>
    <w:bookmarkEnd w:id="21"/>
    <w:bookmarkStart w:id="22" w:name="regulatory-landscape"/>
    <w:p>
      <w:pPr>
        <w:pStyle w:val="Heading2"/>
      </w:pPr>
      <w:r>
        <w:t xml:space="preserve">Regulatory Landscape</w:t>
      </w:r>
    </w:p>
    <w:p>
      <w:pPr>
        <w:pStyle w:val="FirstParagraph"/>
      </w:pPr>
      <w:r>
        <w:rPr>
          <w:bCs/>
          <w:b/>
        </w:rPr>
        <w:t xml:space="preserve">No qualifying payment-regulatory item surfaced in the reviewed material.</w:t>
      </w:r>
      <w:r>
        <w:t xml:space="preserve"> </w:t>
      </w:r>
      <w:r>
        <w:t xml:space="preserve">The actionable evidence was instead merchant-level acceptance and use—dinner in Calabar, family food at Grandsmatt and fruit purchases in the Sisonke network—rather than a legal-tender, licensing, tax or transaction-rule announcement. [1, 2, 3]</w:t>
      </w:r>
    </w:p>
    <w:bookmarkEnd w:id="22"/>
    <w:bookmarkStart w:id="23" w:name="usage-metrics"/>
    <w:p>
      <w:pPr>
        <w:pStyle w:val="Heading2"/>
      </w:pPr>
      <w:r>
        <w:t xml:space="preserve">Usage Metrics</w:t>
      </w:r>
    </w:p>
    <w:p>
      <w:pPr>
        <w:pStyle w:val="FirstParagraph"/>
      </w:pPr>
      <w:r>
        <w:t xml:space="preserve">The available metrics are event-level. The three posts report a family-food purchase, a stated daily dinner norm and community fruit buying, but give no sat or fiat amount, transaction count, merchant-adoption rate or growth series. [2, 1, 3]</w:t>
      </w:r>
    </w:p>
    <w:p>
      <w:pPr>
        <w:pStyle w:val="BodyText"/>
      </w:pPr>
      <w:r>
        <w:t xml:space="preserve">The linked directory records also caution against treating these as new-merchant counts. Grandsmatt is dated 24 November 2025 and marked for location verification, with its activity shown as nine months ago. [5] Chef Green’s record is dated 7 May, is also marked for verification, and shows creation a year ago and an update three months ago. [4] Mkambi is dated 21 November 2025, marked for verification, and shows activity nine months ago. [6] The defensible measurement is therefore reach and reported use, not merchant growth or payment volume.</w:t>
      </w:r>
    </w:p>
    <w:bookmarkEnd w:id="23"/>
    <w:bookmarkStart w:id="24" w:name="emerging-markets"/>
    <w:p>
      <w:pPr>
        <w:pStyle w:val="Heading2"/>
      </w:pPr>
      <w:r>
        <w:t xml:space="preserve">Emerging Markets</w:t>
      </w:r>
    </w:p>
    <w:p>
      <w:pPr>
        <w:pStyle w:val="FirstParagraph"/>
      </w:pPr>
      <w:r>
        <w:t xml:space="preserve">The strongest geographic pattern is community-led distribution across Calabar, Nairobi-linked groups and Randwest, with food and produce serving as the practical use cases. The merchant posts combine local organizers, Blink-linked payment addresses, Lightning and directory visibility rather than relying on a national payments program. [4, 5, 6]</w:t>
      </w:r>
    </w:p>
    <w:p>
      <w:pPr>
        <w:pStyle w:val="BodyText"/>
      </w:pPr>
      <w:r>
        <w:t xml:space="preserve">An adjacent onboarding signal comes from</w:t>
      </w:r>
      <w:r>
        <w:t xml:space="preserve"> </w:t>
      </w:r>
      <w:r>
        <w:rPr>
          <w:bCs/>
          <w:b/>
        </w:rPr>
        <w:t xml:space="preserve">Bitcoin Ekiti Cohort 2</w:t>
      </w:r>
      <w:r>
        <w:t xml:space="preserve">, whose current recap says the session examined everyday Bitcoin use and the self-custody principle</w:t>
      </w:r>
      <w:r>
        <w:t xml:space="preserve"> </w:t>
      </w:r>
      <w:r>
        <w:t xml:space="preserve">“</w:t>
      </w:r>
      <w:r>
        <w:t xml:space="preserve">not your keys, not your coins.</w:t>
      </w:r>
      <w:r>
        <w:t xml:space="preserve">”</w:t>
      </w:r>
      <w:r>
        <w:t xml:space="preserve"> </w:t>
      </w:r>
      <w:r>
        <w:t xml:space="preserve">It supports education as part of the distribution model, but reports no merchant, payment or usage count. [7]</w:t>
      </w:r>
    </w:p>
    <w:bookmarkEnd w:id="24"/>
    <w:bookmarkStart w:id="33" w:name="adoption-outlook"/>
    <w:p>
      <w:pPr>
        <w:pStyle w:val="Heading2"/>
      </w:pPr>
      <w:r>
        <w:t xml:space="preserve">Adoption Outlook</w:t>
      </w:r>
    </w:p>
    <w:p>
      <w:pPr>
        <w:pStyle w:val="FirstParagraph"/>
      </w:pPr>
      <w:r>
        <w:t xml:space="preserve">The current momentum is visible as repeated small, ordinary purchases—food, dinner and fruit—using the same lightweight Lightning/Blink and merchant-directory pattern across community networks. [1, 2, 3] The limiting signal is equally concrete: the posts provide no aggregate volume, directory records are old or still unverified, and one merchant name does not match between the post and the listing. The period supports expanding payment access and claimed recurring use, not yet measured ecosystem growth. [5, 4, 6]</w:t>
      </w:r>
    </w:p>
    <w:p>
      <w:r>
        <w:pict>
          <v:rect style="width:0;height:1.5pt" o:hralign="center" o:hrstd="t" o:hr="t"/>
        </w:pict>
      </w:r>
    </w:p>
    <w:bookmarkStart w:id="32" w:name="sources"/>
    <w:p>
      <w:pPr>
        <w:pStyle w:val="Heading3"/>
      </w:pPr>
      <w:r>
        <w:t xml:space="preserve">Sources</w:t>
      </w:r>
    </w:p>
    <w:p>
      <w:pPr>
        <w:numPr>
          <w:ilvl w:val="0"/>
          <w:numId w:val="1001"/>
        </w:numPr>
        <w:pStyle w:val="Compact"/>
      </w:pPr>
      <w:hyperlink r:id="rId25">
        <w:r>
          <w:rPr>
            <w:rStyle w:val="Hyperlink"/>
          </w:rPr>
          <w:t xml:space="preserve">𝕏 post by</w:t>
        </w:r>
        <w:r>
          <w:rPr>
            <w:rStyle w:val="Hyperlink"/>
          </w:rPr>
          <w:t xml:space="preserve"> </w:t>
        </w:r>
        <w:r>
          <w:rPr>
            <w:rStyle w:val="Hyperlink"/>
          </w:rPr>
          <w:t xml:space="preserve">@BitcoinCalabar</w:t>
        </w:r>
      </w:hyperlink>
    </w:p>
    <w:p>
      <w:pPr>
        <w:numPr>
          <w:ilvl w:val="0"/>
          <w:numId w:val="1001"/>
        </w:numPr>
        <w:pStyle w:val="Compact"/>
      </w:pPr>
      <w:hyperlink r:id="rId26">
        <w:r>
          <w:rPr>
            <w:rStyle w:val="Hyperlink"/>
          </w:rPr>
          <w:t xml:space="preserve">𝕏 post by</w:t>
        </w:r>
        <w:r>
          <w:rPr>
            <w:rStyle w:val="Hyperlink"/>
          </w:rPr>
          <w:t xml:space="preserve"> </w:t>
        </w:r>
        <w:r>
          <w:rPr>
            <w:rStyle w:val="Hyperlink"/>
          </w:rPr>
          <w:t xml:space="preserve">@BitBiashara</w:t>
        </w:r>
      </w:hyperlink>
    </w:p>
    <w:p>
      <w:pPr>
        <w:numPr>
          <w:ilvl w:val="0"/>
          <w:numId w:val="1001"/>
        </w:numPr>
        <w:pStyle w:val="Compact"/>
      </w:pPr>
      <w:hyperlink r:id="rId27">
        <w:r>
          <w:rPr>
            <w:rStyle w:val="Hyperlink"/>
          </w:rPr>
          <w:t xml:space="preserve">𝕏 post by</w:t>
        </w:r>
        <w:r>
          <w:rPr>
            <w:rStyle w:val="Hyperlink"/>
          </w:rPr>
          <w:t xml:space="preserve"> </w:t>
        </w:r>
        <w:r>
          <w:rPr>
            <w:rStyle w:val="Hyperlink"/>
          </w:rPr>
          <w:t xml:space="preserve">@sisonkeBTC</w:t>
        </w:r>
      </w:hyperlink>
    </w:p>
    <w:p>
      <w:pPr>
        <w:numPr>
          <w:ilvl w:val="0"/>
          <w:numId w:val="1001"/>
        </w:numPr>
        <w:pStyle w:val="Compact"/>
      </w:pPr>
      <w:hyperlink r:id="rId28">
        <w:r>
          <w:rPr>
            <w:rStyle w:val="Hyperlink"/>
          </w:rPr>
          <w:t xml:space="preserve">Chef Green Signature Local Cusine Hub - BTC Map</w:t>
        </w:r>
      </w:hyperlink>
    </w:p>
    <w:p>
      <w:pPr>
        <w:numPr>
          <w:ilvl w:val="0"/>
          <w:numId w:val="1001"/>
        </w:numPr>
        <w:pStyle w:val="Compact"/>
      </w:pPr>
      <w:hyperlink r:id="rId29">
        <w:r>
          <w:rPr>
            <w:rStyle w:val="Hyperlink"/>
          </w:rPr>
          <w:t xml:space="preserve">Grandsmatt - BTC Map</w:t>
        </w:r>
      </w:hyperlink>
    </w:p>
    <w:p>
      <w:pPr>
        <w:numPr>
          <w:ilvl w:val="0"/>
          <w:numId w:val="1001"/>
        </w:numPr>
        <w:pStyle w:val="Compact"/>
      </w:pPr>
      <w:hyperlink r:id="rId30">
        <w:r>
          <w:rPr>
            <w:rStyle w:val="Hyperlink"/>
          </w:rPr>
          <w:t xml:space="preserve">Mkambi - BTC Map</w:t>
        </w:r>
      </w:hyperlink>
    </w:p>
    <w:p>
      <w:pPr>
        <w:numPr>
          <w:ilvl w:val="0"/>
          <w:numId w:val="1001"/>
        </w:numPr>
        <w:pStyle w:val="Compact"/>
      </w:pPr>
      <w:hyperlink r:id="rId31">
        <w:r>
          <w:rPr>
            <w:rStyle w:val="Hyperlink"/>
          </w:rPr>
          <w:t xml:space="preserve">𝕏 post by</w:t>
        </w:r>
        <w:r>
          <w:rPr>
            <w:rStyle w:val="Hyperlink"/>
          </w:rPr>
          <w:t xml:space="preserve"> </w:t>
        </w:r>
        <w:r>
          <w:rPr>
            <w:rStyle w:val="Hyperlink"/>
          </w:rPr>
          <w:t xml:space="preserve">@BitcoinEkiti</w:t>
        </w:r>
      </w:hyperlink>
    </w:p>
    <w:bookmarkEnd w:id="32"/>
    <w:bookmarkEnd w:id="33"/>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411">
    <w:nsid w:val="A9941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Type="http://schemas.openxmlformats.org/officeDocument/2006/relationships/hyperlink" Id="rId28" Target="https://btcmap.org/merchant/25058" TargetMode="External" /><Relationship Type="http://schemas.openxmlformats.org/officeDocument/2006/relationships/hyperlink" Id="rId29" Target="https://btcmap.org/merchant/31116" TargetMode="External" /><Relationship Type="http://schemas.openxmlformats.org/officeDocument/2006/relationships/hyperlink" Id="rId30" Target="https://btcmap.org/merchant/31296" TargetMode="External" /><Relationship Type="http://schemas.openxmlformats.org/officeDocument/2006/relationships/hyperlink" Id="rId26" Target="https://x.com/BitBiashara/status/2088691751397548498" TargetMode="External" /><Relationship Type="http://schemas.openxmlformats.org/officeDocument/2006/relationships/hyperlink" Id="rId25" Target="https://x.com/BitcoinCalabar/status/2088677841189626366" TargetMode="External" /><Relationship Type="http://schemas.openxmlformats.org/officeDocument/2006/relationships/hyperlink" Id="rId31" Target="https://x.com/BitcoinEkiti/status/2088594028291871164" TargetMode="External" /><Relationship Type="http://schemas.openxmlformats.org/officeDocument/2006/relationships/hyperlink" Id="rId27" Target="https://x.com/sisonkeBTC/status/2088834230784508203" TargetMode="External" /></Relationships>
</file>

<file path=word/_rels/footnotes.xml.rels><?xml version="1.0" encoding="UTF-8"?><Relationships xmlns="http://schemas.openxmlformats.org/package/2006/relationships"><Relationship Type="http://schemas.openxmlformats.org/officeDocument/2006/relationships/hyperlink" Id="rId28" Target="https://btcmap.org/merchant/25058" TargetMode="External" /><Relationship Type="http://schemas.openxmlformats.org/officeDocument/2006/relationships/hyperlink" Id="rId29" Target="https://btcmap.org/merchant/31116" TargetMode="External" /><Relationship Type="http://schemas.openxmlformats.org/officeDocument/2006/relationships/hyperlink" Id="rId30" Target="https://btcmap.org/merchant/31296" TargetMode="External" /><Relationship Type="http://schemas.openxmlformats.org/officeDocument/2006/relationships/hyperlink" Id="rId26" Target="https://x.com/BitBiashara/status/2088691751397548498" TargetMode="External" /><Relationship Type="http://schemas.openxmlformats.org/officeDocument/2006/relationships/hyperlink" Id="rId25" Target="https://x.com/BitcoinCalabar/status/2088677841189626366" TargetMode="External" /><Relationship Type="http://schemas.openxmlformats.org/officeDocument/2006/relationships/hyperlink" Id="rId31" Target="https://x.com/BitcoinEkiti/status/2088594028291871164" TargetMode="External" /><Relationship Type="http://schemas.openxmlformats.org/officeDocument/2006/relationships/hyperlink" Id="rId27" Target="https://x.com/sisonkeBTC/status/2088834230784508203"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Everyday Lightning Spending Surfaces Across African Community Merchants</dc:title>
  <dc:creator>Bitcoin Payment Adoption Tracker</dc:creator>
  <cp:keywords/>
  <dcterms:created xsi:type="dcterms:W3CDTF">2026-08-25T07:20:11Z</dcterms:created>
  <dcterms:modified xsi:type="dcterms:W3CDTF">2026-08-25T07:20:11Z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ate">
    <vt:lpwstr>2026-08-16</vt:lpwstr>
  </property>
</Properties>
</file>