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Faster Product Learning, AI-Era Monetization, and the New PM Skill Bar</w:t>
      </w:r>
    </w:p>
    <w:p>
      <w:pPr>
        <w:pStyle w:val="Author"/>
      </w:pPr>
      <w:r>
        <w:t xml:space="preserve">PM Daily Digest</w:t>
      </w:r>
    </w:p>
    <w:p>
      <w:pPr>
        <w:pStyle w:val="Date"/>
      </w:pPr>
      <w:r>
        <w:t xml:space="preserve">2026-04-30</w:t>
      </w:r>
    </w:p>
    <w:bookmarkStart w:id="51" w:name="Xb0a3a0d64809cd5a3cbe92202816b5342dbc7ae"/>
    <w:p>
      <w:pPr>
        <w:pStyle w:val="Heading1"/>
      </w:pPr>
      <w:r>
        <w:t xml:space="preserve">Faster Product Learning, AI-Era Monetization, and the New PM Skill Bar</w:t>
      </w:r>
    </w:p>
    <w:p>
      <w:pPr>
        <w:pStyle w:val="FirstParagraph"/>
      </w:pPr>
      <w:r>
        <w:rPr>
          <w:iCs/>
          <w:i/>
        </w:rPr>
        <w:t xml:space="preserve">By PM Daily Digest • April 30, 2026</w:t>
      </w:r>
    </w:p>
    <w:p>
      <w:pPr>
        <w:pStyle w:val="BodyText"/>
      </w:pPr>
      <w:r>
        <w:t xml:space="preserve">This issue covers faster-learning product orgs, marketplace and retention frameworks, AI-era monetization for content businesses, and concrete lessons from GoFundMe, Stripe, and Owner. It also looks at how synthetic feedback, AI product sense interviews, and builder fluency are reshaping PM practice and career paths.</w:t>
      </w:r>
    </w:p>
    <w:bookmarkStart w:id="24" w:name="big-ideas"/>
    <w:p>
      <w:pPr>
        <w:pStyle w:val="Heading2"/>
      </w:pPr>
      <w:r>
        <w:t xml:space="preserve">Big Ideas</w:t>
      </w:r>
    </w:p>
    <w:bookmarkStart w:id="20" w:name="Xb418ad02cc463a5bbf994149ec43d652c53edcf"/>
    <w:p>
      <w:pPr>
        <w:pStyle w:val="Heading3"/>
      </w:pPr>
      <w:r>
        <w:t xml:space="preserve">1) Fast product learning is increasingly an org-design problem</w:t>
      </w:r>
    </w:p>
    <w:p>
      <w:pPr>
        <w:pStyle w:val="FirstParagraph"/>
      </w:pPr>
      <w:r>
        <w:t xml:space="preserve">GoFundMe’s CPTO model is built around a simple advantage: lower coordination costs let consumer and marketplace teams test hypotheses, learn faster, and reallocate resources in days instead of weeks or months [1]. The structure pairs strong functional leaders across product, engineering, AI, design, and research with tribes and PM-engineering-design squad triads that own OKRs and KPIs [1]. The trade-off is real: some decisions no longer get debated across the full exec table, and a product-heavy CPTO has to compensate with strong engineering and AI leaders [1].</w:t>
      </w:r>
    </w:p>
    <w:p>
      <w:pPr>
        <w:numPr>
          <w:ilvl w:val="0"/>
          <w:numId w:val="1001"/>
        </w:numPr>
        <w:pStyle w:val="Compact"/>
      </w:pPr>
      <w:r>
        <w:rPr>
          <w:bCs/>
          <w:b/>
        </w:rPr>
        <w:t xml:space="preserve">Why it matters:</w:t>
      </w:r>
      <w:r>
        <w:t xml:space="preserve"> </w:t>
      </w:r>
      <w:r>
        <w:t xml:space="preserve">Speed is not just a team habit. It is often a consequence of how decision rights and resource moves are structured [1].</w:t>
      </w:r>
    </w:p>
    <w:p>
      <w:pPr>
        <w:numPr>
          <w:ilvl w:val="0"/>
          <w:numId w:val="1001"/>
        </w:numPr>
        <w:pStyle w:val="Compact"/>
      </w:pPr>
      <w:r>
        <w:rPr>
          <w:bCs/>
          <w:b/>
        </w:rPr>
        <w:t xml:space="preserve">How to apply:</w:t>
      </w:r>
      <w:r>
        <w:t xml:space="preserve"> </w:t>
      </w:r>
      <w:r>
        <w:t xml:space="preserve">If your team keeps discovering important signals but cannot act on them quickly, audit the path from experiment result to resourcing change. Clear squad ownership and a smaller cross-functional decision loop can matter as much as better roadmap process [1].</w:t>
      </w:r>
    </w:p>
    <w:bookmarkEnd w:id="20"/>
    <w:bookmarkStart w:id="21" w:name="Xd1c90cdbeb34a52cfe83c977ac992046304ba60"/>
    <w:p>
      <w:pPr>
        <w:pStyle w:val="Heading3"/>
      </w:pPr>
      <w:r>
        <w:t xml:space="preserve">2) Content PMs need to measure and price machine-mediated consumption</w:t>
      </w:r>
    </w:p>
    <w:p>
      <w:pPr>
        <w:pStyle w:val="BlockText"/>
      </w:pPr>
      <w:r>
        <w:t xml:space="preserve">“</w:t>
      </w:r>
      <w:r>
        <w:t xml:space="preserve">You are building for humans to consume content via machines instead of humans directly consuming content off of your platforms.</w:t>
      </w:r>
      <w:r>
        <w:t xml:space="preserve">”</w:t>
      </w:r>
      <w:r>
        <w:t xml:space="preserve"> </w:t>
      </w:r>
      <w:r>
        <w:t xml:space="preserve">[2]</w:t>
      </w:r>
    </w:p>
    <w:p>
      <w:pPr>
        <w:pStyle w:val="FirstParagraph"/>
      </w:pPr>
      <w:r>
        <w:t xml:space="preserve">For content businesses, value is shifting from direct reading to synthesized outputs. That changes what PMs need to instrument: RAG inference usage, fine-tuning and training usage, attribution clickbacks, token consumption, and how much of an AI answer is derived from the original source content [2]. It also changes the product surface itself: rights-in and rights-out agreements need to be explicit, prohibited uses may need more detail than permitted uses, and those permissions should become part of the user journey [2]. At the content layer, teams are restructuring material with richer metadata, bullet points, and Q&amp;A-style formatting because those shapes are easier for AI systems to consume [2]. Monetization is expanding from subscriptions toward data-as-a-service via APIs, MCP servers, token pricing, and outcome-based models [2].</w:t>
      </w:r>
    </w:p>
    <w:p>
      <w:pPr>
        <w:numPr>
          <w:ilvl w:val="0"/>
          <w:numId w:val="1002"/>
        </w:numPr>
        <w:pStyle w:val="Compact"/>
      </w:pPr>
      <w:r>
        <w:rPr>
          <w:bCs/>
          <w:b/>
        </w:rPr>
        <w:t xml:space="preserve">Why it matters:</w:t>
      </w:r>
      <w:r>
        <w:t xml:space="preserve"> </w:t>
      </w:r>
      <w:r>
        <w:t xml:space="preserve">If users increasingly experience your product through another system, old metrics like views or downloads no longer describe where value is created [2].</w:t>
      </w:r>
    </w:p>
    <w:p>
      <w:pPr>
        <w:numPr>
          <w:ilvl w:val="0"/>
          <w:numId w:val="1002"/>
        </w:numPr>
        <w:pStyle w:val="Compact"/>
      </w:pPr>
      <w:r>
        <w:rPr>
          <w:bCs/>
          <w:b/>
        </w:rPr>
        <w:t xml:space="preserve">How to apply:</w:t>
      </w:r>
      <w:r>
        <w:t xml:space="preserve"> </w:t>
      </w:r>
      <w:r>
        <w:t xml:space="preserve">Run a three-part audit: rights, structure, and measurement. First map what you are allowed to license, then make content more machine-readable, then build pipelines that tie AI outputs and attributions back to your source content [2].</w:t>
      </w:r>
    </w:p>
    <w:bookmarkEnd w:id="21"/>
    <w:bookmarkStart w:id="22" w:name="X89d1a73f7b6cb56997cb156fad7ee8e139707f8"/>
    <w:p>
      <w:pPr>
        <w:pStyle w:val="Heading3"/>
      </w:pPr>
      <w:r>
        <w:t xml:space="preserve">3) Synthetic users create a new pre-interview discovery layer</w:t>
      </w:r>
    </w:p>
    <w:p>
      <w:pPr>
        <w:pStyle w:val="BlockText"/>
      </w:pPr>
      <w:r>
        <w:t xml:space="preserve">“</w:t>
      </w:r>
      <w:r>
        <w:t xml:space="preserve">You’re not replacing customer interviews. You’re getting earlier feedback before them.</w:t>
      </w:r>
      <w:r>
        <w:t xml:space="preserve">”</w:t>
      </w:r>
      <w:r>
        <w:t xml:space="preserve"> </w:t>
      </w:r>
      <w:r>
        <w:t xml:space="preserve">[3]</w:t>
      </w:r>
    </w:p>
    <w:p>
      <w:pPr>
        <w:pStyle w:val="FirstParagraph"/>
      </w:pPr>
      <w:r>
        <w:t xml:space="preserve">Synthetic user feedback trains AI models on real interviews, behavioral data, and demographic or psychographic profiles so teams can simulate how a narrow segment might respond to a prototype before live research starts [3]. The promise is earlier feedback loops, more experiments, and faster movement through the idea maze [3]. One cited example: CVS Health uses Simile with 2.9 million consented customer responses to simulate feedback from highly specific segments, such as Spanish-speaking Medicare subscribers evaluating prescription onboarding flows [3].</w:t>
      </w:r>
    </w:p>
    <w:p>
      <w:pPr>
        <w:numPr>
          <w:ilvl w:val="0"/>
          <w:numId w:val="1003"/>
        </w:numPr>
        <w:pStyle w:val="Compact"/>
      </w:pPr>
      <w:r>
        <w:rPr>
          <w:bCs/>
          <w:b/>
        </w:rPr>
        <w:t xml:space="preserve">Why it matters:</w:t>
      </w:r>
      <w:r>
        <w:t xml:space="preserve"> </w:t>
      </w:r>
      <w:r>
        <w:t xml:space="preserve">Discovery capacity is no longer limited only by calendar time with live participants [3].</w:t>
      </w:r>
    </w:p>
    <w:p>
      <w:pPr>
        <w:numPr>
          <w:ilvl w:val="0"/>
          <w:numId w:val="1003"/>
        </w:numPr>
        <w:pStyle w:val="Compact"/>
      </w:pPr>
      <w:r>
        <w:rPr>
          <w:bCs/>
          <w:b/>
        </w:rPr>
        <w:t xml:space="preserve">How to apply:</w:t>
      </w:r>
      <w:r>
        <w:t xml:space="preserve"> </w:t>
      </w:r>
      <w:r>
        <w:t xml:space="preserve">Use synthetic feedback to narrow options and sharpen interview plans, but keep real customer interviews as the source of truth [3].</w:t>
      </w:r>
    </w:p>
    <w:bookmarkEnd w:id="22"/>
    <w:bookmarkStart w:id="23" w:name="Xe3bfa1ecc17585f9d7cf16cf54e639952721ccb"/>
    <w:p>
      <w:pPr>
        <w:pStyle w:val="Heading3"/>
      </w:pPr>
      <w:r>
        <w:t xml:space="preserve">4) Platform scale matters more when it produces user-visible advantages</w:t>
      </w:r>
    </w:p>
    <w:p>
      <w:pPr>
        <w:pStyle w:val="FirstParagraph"/>
      </w:pPr>
      <w:r>
        <w:t xml:space="preserve">Stripe says more of its launches are now network products, guided by the question of how to turn Stripe’s economies of scale into user benefits [4]. It also says the company has reached a critical mass of platform capabilities that makes building new things feel easier and faster, with AI helping, while developer-centricity has become strategically more important because agents need strong DX too [4].</w:t>
      </w:r>
    </w:p>
    <w:p>
      <w:pPr>
        <w:numPr>
          <w:ilvl w:val="0"/>
          <w:numId w:val="1004"/>
        </w:numPr>
        <w:pStyle w:val="Compact"/>
      </w:pPr>
      <w:r>
        <w:rPr>
          <w:bCs/>
          <w:b/>
        </w:rPr>
        <w:t xml:space="preserve">Why it matters:</w:t>
      </w:r>
      <w:r>
        <w:t xml:space="preserve"> </w:t>
      </w:r>
      <w:r>
        <w:t xml:space="preserve">In the AI era, a platform moat is not just having APIs. It is using aggregated scale, data, and tooling to improve onboarding, fraud prevention, pricing, and optimization for customers [4].</w:t>
      </w:r>
    </w:p>
    <w:p>
      <w:pPr>
        <w:numPr>
          <w:ilvl w:val="0"/>
          <w:numId w:val="1004"/>
        </w:numPr>
        <w:pStyle w:val="Compact"/>
      </w:pPr>
      <w:r>
        <w:rPr>
          <w:bCs/>
          <w:b/>
        </w:rPr>
        <w:t xml:space="preserve">How to apply:</w:t>
      </w:r>
      <w:r>
        <w:t xml:space="preserve"> </w:t>
      </w:r>
      <w:r>
        <w:t xml:space="preserve">When reviewing roadmap ideas, ask which ones get stronger as more customers, transactions, or integrations flow through the system. Those are often the ideas that compound [4].</w:t>
      </w:r>
    </w:p>
    <w:bookmarkEnd w:id="23"/>
    <w:bookmarkEnd w:id="24"/>
    <w:bookmarkStart w:id="29" w:name="tactical-playbook"/>
    <w:p>
      <w:pPr>
        <w:pStyle w:val="Heading2"/>
      </w:pPr>
      <w:r>
        <w:t xml:space="preserve">Tactical Playbook</w:t>
      </w:r>
    </w:p>
    <w:bookmarkStart w:id="25" w:name="X9acc8d324dfd43eb2d423b645744b0d47daddd1"/>
    <w:p>
      <w:pPr>
        <w:pStyle w:val="Heading3"/>
      </w:pPr>
      <w:r>
        <w:t xml:space="preserve">1) Run a synthetic feedback loop before live interviews</w:t>
      </w:r>
    </w:p>
    <w:p>
      <w:pPr>
        <w:numPr>
          <w:ilvl w:val="0"/>
          <w:numId w:val="1005"/>
        </w:numPr>
        <w:pStyle w:val="Compact"/>
      </w:pPr>
      <w:r>
        <w:t xml:space="preserve">Start with real qualitative interviews from the segment you care about [3].</w:t>
      </w:r>
    </w:p>
    <w:p>
      <w:pPr>
        <w:numPr>
          <w:ilvl w:val="0"/>
          <w:numId w:val="1005"/>
        </w:numPr>
        <w:pStyle w:val="Compact"/>
      </w:pPr>
      <w:r>
        <w:t xml:space="preserve">Add behavioral product data plus demographic and psychographic profiles [3].</w:t>
      </w:r>
    </w:p>
    <w:p>
      <w:pPr>
        <w:numPr>
          <w:ilvl w:val="0"/>
          <w:numId w:val="1005"/>
        </w:numPr>
        <w:pStyle w:val="Compact"/>
      </w:pPr>
      <w:r>
        <w:t xml:space="preserve">Train synthetic users for the specific segment you want to learn from [3].</w:t>
      </w:r>
    </w:p>
    <w:p>
      <w:pPr>
        <w:numPr>
          <w:ilvl w:val="0"/>
          <w:numId w:val="1005"/>
        </w:numPr>
        <w:pStyle w:val="Compact"/>
      </w:pPr>
      <w:r>
        <w:t xml:space="preserve">Put prototypes or workflows in front of those synthetic users before scheduling live sessions [3].</w:t>
      </w:r>
    </w:p>
    <w:p>
      <w:pPr>
        <w:numPr>
          <w:ilvl w:val="0"/>
          <w:numId w:val="1005"/>
        </w:numPr>
        <w:pStyle w:val="Compact"/>
      </w:pPr>
      <w:r>
        <w:t xml:space="preserve">Use the output to test more concepts and sharpen the questions you will ask real users [3].</w:t>
      </w:r>
    </w:p>
    <w:p>
      <w:pPr>
        <w:numPr>
          <w:ilvl w:val="0"/>
          <w:numId w:val="1005"/>
        </w:numPr>
        <w:pStyle w:val="Compact"/>
      </w:pPr>
      <w:r>
        <w:t xml:space="preserve">Keep live interviews in the loop; the method is for earlier feedback, not replacement [3].</w:t>
      </w:r>
    </w:p>
    <w:p>
      <w:pPr>
        <w:pStyle w:val="FirstParagraph"/>
      </w:pPr>
      <w:r>
        <w:rPr>
          <w:bCs/>
          <w:b/>
        </w:rPr>
        <w:t xml:space="preserve">Why it matters:</w:t>
      </w:r>
      <w:r>
        <w:t xml:space="preserve"> </w:t>
      </w:r>
      <w:r>
        <w:t xml:space="preserve">This is a practical way to increase concept throughput without pretending synthetic responses are the same as customer truth [3].</w:t>
      </w:r>
    </w:p>
    <w:bookmarkEnd w:id="25"/>
    <w:bookmarkStart w:id="26" w:name="Xf33512daead0dd6b91a567c61bd573462a751ab"/>
    <w:p>
      <w:pPr>
        <w:pStyle w:val="Heading3"/>
      </w:pPr>
      <w:r>
        <w:t xml:space="preserve">2) Diagnose marketplace health before you push more growth</w:t>
      </w:r>
    </w:p>
    <w:p>
      <w:pPr>
        <w:numPr>
          <w:ilvl w:val="0"/>
          <w:numId w:val="1006"/>
        </w:numPr>
        <w:pStyle w:val="Compact"/>
      </w:pPr>
      <w:r>
        <w:t xml:space="preserve">Check for</w:t>
      </w:r>
      <w:r>
        <w:t xml:space="preserve"> </w:t>
      </w:r>
      <w:r>
        <w:rPr>
          <w:bCs/>
          <w:b/>
        </w:rPr>
        <w:t xml:space="preserve">cold start</w:t>
      </w:r>
      <w:r>
        <w:t xml:space="preserve">: demand is showing up, but supply is missing [1].</w:t>
      </w:r>
    </w:p>
    <w:p>
      <w:pPr>
        <w:numPr>
          <w:ilvl w:val="0"/>
          <w:numId w:val="1006"/>
        </w:numPr>
        <w:pStyle w:val="Compact"/>
      </w:pPr>
      <w:r>
        <w:t xml:space="preserve">Check for</w:t>
      </w:r>
      <w:r>
        <w:t xml:space="preserve"> </w:t>
      </w:r>
      <w:r>
        <w:rPr>
          <w:bCs/>
          <w:b/>
        </w:rPr>
        <w:t xml:space="preserve">imbalance</w:t>
      </w:r>
      <w:r>
        <w:t xml:space="preserve">: one side of the marketplace is overwhelming the other [1].</w:t>
      </w:r>
    </w:p>
    <w:p>
      <w:pPr>
        <w:numPr>
          <w:ilvl w:val="0"/>
          <w:numId w:val="1006"/>
        </w:numPr>
        <w:pStyle w:val="Compact"/>
      </w:pPr>
      <w:r>
        <w:t xml:space="preserve">Check for</w:t>
      </w:r>
      <w:r>
        <w:t xml:space="preserve"> </w:t>
      </w:r>
      <w:r>
        <w:rPr>
          <w:bCs/>
          <w:b/>
        </w:rPr>
        <w:t xml:space="preserve">false positive growth</w:t>
      </w:r>
      <w:r>
        <w:t xml:space="preserve">: overall growth looks healthy, but one supplier is driving most of it [1].</w:t>
      </w:r>
    </w:p>
    <w:p>
      <w:pPr>
        <w:numPr>
          <w:ilvl w:val="0"/>
          <w:numId w:val="1006"/>
        </w:numPr>
        <w:pStyle w:val="Compact"/>
      </w:pPr>
      <w:r>
        <w:t xml:space="preserve">Use temporary interventions to grease the flywheel: manually create supply, shape demand toward the parts of the marketplace that can fulfill it, enforce quality, and use limited subsidies when needed [1].</w:t>
      </w:r>
    </w:p>
    <w:p>
      <w:pPr>
        <w:numPr>
          <w:ilvl w:val="0"/>
          <w:numId w:val="1006"/>
        </w:numPr>
        <w:pStyle w:val="Compact"/>
      </w:pPr>
      <w:r>
        <w:t xml:space="preserve">Define the exit condition for those interventions because subsidies and manual fixes are not meant to last forever [1].</w:t>
      </w:r>
    </w:p>
    <w:p>
      <w:pPr>
        <w:pStyle w:val="FirstParagraph"/>
      </w:pPr>
      <w:r>
        <w:rPr>
          <w:bCs/>
          <w:b/>
        </w:rPr>
        <w:t xml:space="preserve">Why it matters:</w:t>
      </w:r>
      <w:r>
        <w:t xml:space="preserve"> </w:t>
      </w:r>
      <w:r>
        <w:t xml:space="preserve">PMs often talk about growth before confirming whether the marketplace is actually healthy underneath [1].</w:t>
      </w:r>
    </w:p>
    <w:bookmarkEnd w:id="26"/>
    <w:bookmarkStart w:id="27" w:name="X445c190883b5bb808cce33e420fa7c38e9da36f"/>
    <w:p>
      <w:pPr>
        <w:pStyle w:val="Heading3"/>
      </w:pPr>
      <w:r>
        <w:t xml:space="preserve">3) Use the Hook model to design repeat usage</w:t>
      </w:r>
    </w:p>
    <w:p>
      <w:pPr>
        <w:numPr>
          <w:ilvl w:val="0"/>
          <w:numId w:val="1007"/>
        </w:numPr>
        <w:pStyle w:val="Compact"/>
      </w:pPr>
      <w:r>
        <w:t xml:space="preserve">Define the internal trigger you want to solve for, and make sure it is frequent enough to matter. Products used at least weekly are much easier to turn into habits [5].</w:t>
      </w:r>
    </w:p>
    <w:p>
      <w:pPr>
        <w:numPr>
          <w:ilvl w:val="0"/>
          <w:numId w:val="1007"/>
        </w:numPr>
        <w:pStyle w:val="Compact"/>
      </w:pPr>
      <w:r>
        <w:t xml:space="preserve">Pair that trigger with an external cue delivered in the right context, not on the product’s schedule [5].</w:t>
      </w:r>
    </w:p>
    <w:p>
      <w:pPr>
        <w:numPr>
          <w:ilvl w:val="0"/>
          <w:numId w:val="1007"/>
        </w:numPr>
        <w:pStyle w:val="Compact"/>
      </w:pPr>
      <w:r>
        <w:t xml:space="preserve">Reduce the action to the simplest behavior done in anticipation of a reward [5].</w:t>
      </w:r>
    </w:p>
    <w:p>
      <w:pPr>
        <w:numPr>
          <w:ilvl w:val="0"/>
          <w:numId w:val="1007"/>
        </w:numPr>
        <w:pStyle w:val="Compact"/>
      </w:pPr>
      <w:r>
        <w:t xml:space="preserve">Choose a variable reward type:</w:t>
      </w:r>
      <w:r>
        <w:t xml:space="preserve"> </w:t>
      </w:r>
      <w:r>
        <w:rPr>
          <w:bCs/>
          <w:b/>
        </w:rPr>
        <w:t xml:space="preserve">tribe</w:t>
      </w:r>
      <w:r>
        <w:t xml:space="preserve">,</w:t>
      </w:r>
      <w:r>
        <w:t xml:space="preserve"> </w:t>
      </w:r>
      <w:r>
        <w:rPr>
          <w:bCs/>
          <w:b/>
        </w:rPr>
        <w:t xml:space="preserve">hunt</w:t>
      </w:r>
      <w:r>
        <w:t xml:space="preserve">, or</w:t>
      </w:r>
      <w:r>
        <w:t xml:space="preserve"> </w:t>
      </w:r>
      <w:r>
        <w:rPr>
          <w:bCs/>
          <w:b/>
        </w:rPr>
        <w:t xml:space="preserve">self</w:t>
      </w:r>
      <w:r>
        <w:t xml:space="preserve"> </w:t>
      </w:r>
      <w:r>
        <w:t xml:space="preserve">[5].</w:t>
      </w:r>
    </w:p>
    <w:p>
      <w:pPr>
        <w:numPr>
          <w:ilvl w:val="0"/>
          <w:numId w:val="1007"/>
        </w:numPr>
        <w:pStyle w:val="Compact"/>
      </w:pPr>
      <w:r>
        <w:t xml:space="preserve">Add investment so the experience improves with use through data, content, preferences, or personalization [5].</w:t>
      </w:r>
    </w:p>
    <w:p>
      <w:pPr>
        <w:numPr>
          <w:ilvl w:val="0"/>
          <w:numId w:val="1007"/>
        </w:numPr>
        <w:pStyle w:val="Compact"/>
      </w:pPr>
      <w:r>
        <w:t xml:space="preserve">Build on an existing routine whenever possible. The asthma inhaler example used a 50-cent stand by the toothbrush, and Fitbod anchored on uncertainty at the gym with one-tap workout plans and logged progress [5].</w:t>
      </w:r>
    </w:p>
    <w:p>
      <w:pPr>
        <w:pStyle w:val="FirstParagraph"/>
      </w:pPr>
      <w:r>
        <w:rPr>
          <w:bCs/>
          <w:b/>
        </w:rPr>
        <w:t xml:space="preserve">Why it matters:</w:t>
      </w:r>
      <w:r>
        <w:t xml:space="preserve"> </w:t>
      </w:r>
      <w:r>
        <w:t xml:space="preserve">Retention improves when the product fits an existing routine and gets better as the user puts more into it [5].</w:t>
      </w:r>
    </w:p>
    <w:bookmarkEnd w:id="27"/>
    <w:bookmarkStart w:id="28" w:name="build-a-fast-learning-execution-cadence"/>
    <w:p>
      <w:pPr>
        <w:pStyle w:val="Heading3"/>
      </w:pPr>
      <w:r>
        <w:t xml:space="preserve">4) Build a fast-learning execution cadence</w:t>
      </w:r>
    </w:p>
    <w:p>
      <w:pPr>
        <w:numPr>
          <w:ilvl w:val="0"/>
          <w:numId w:val="1008"/>
        </w:numPr>
        <w:pStyle w:val="Compact"/>
      </w:pPr>
      <w:r>
        <w:t xml:space="preserve">Form autonomous PM-engineering-design squad triads with clear business and customer metrics [1].</w:t>
      </w:r>
    </w:p>
    <w:p>
      <w:pPr>
        <w:numPr>
          <w:ilvl w:val="0"/>
          <w:numId w:val="1008"/>
        </w:numPr>
        <w:pStyle w:val="Compact"/>
      </w:pPr>
      <w:r>
        <w:t xml:space="preserve">Bring experiment learnings from analytics quickly to a cross-functional leadership table [1].</w:t>
      </w:r>
    </w:p>
    <w:p>
      <w:pPr>
        <w:numPr>
          <w:ilvl w:val="0"/>
          <w:numId w:val="1008"/>
        </w:numPr>
        <w:pStyle w:val="Compact"/>
      </w:pPr>
      <w:r>
        <w:t xml:space="preserve">Reallocate product, engineering, design, and data resources when a signal is material [1].</w:t>
      </w:r>
    </w:p>
    <w:p>
      <w:pPr>
        <w:numPr>
          <w:ilvl w:val="0"/>
          <w:numId w:val="1008"/>
        </w:numPr>
        <w:pStyle w:val="Compact"/>
      </w:pPr>
      <w:r>
        <w:t xml:space="preserve">Keep strong functional leaders involved so single-leader bias does not become a blind spot [1].</w:t>
      </w:r>
    </w:p>
    <w:p>
      <w:pPr>
        <w:pStyle w:val="FirstParagraph"/>
      </w:pPr>
      <w:r>
        <w:rPr>
          <w:bCs/>
          <w:b/>
        </w:rPr>
        <w:t xml:space="preserve">Why it matters:</w:t>
      </w:r>
      <w:r>
        <w:t xml:space="preserve"> </w:t>
      </w:r>
      <w:r>
        <w:t xml:space="preserve">When promising signals arrive, the bottleneck is often the org’s ability to move people and priority, not its ability to spot the signal [1].</w:t>
      </w:r>
    </w:p>
    <w:bookmarkEnd w:id="28"/>
    <w:bookmarkEnd w:id="29"/>
    <w:bookmarkStart w:id="33" w:name="case-studies-lessons"/>
    <w:p>
      <w:pPr>
        <w:pStyle w:val="Heading2"/>
      </w:pPr>
      <w:r>
        <w:t xml:space="preserve">Case Studies &amp; Lessons</w:t>
      </w:r>
    </w:p>
    <w:bookmarkStart w:id="30" w:name="X48ead74cbc61af2fd3f1b4945aeb916e3eecbc6"/>
    <w:p>
      <w:pPr>
        <w:pStyle w:val="Heading3"/>
      </w:pPr>
      <w:r>
        <w:t xml:space="preserve">1) GoFundMe: start AI where it directly lifts the mission metric</w:t>
      </w:r>
    </w:p>
    <w:p>
      <w:pPr>
        <w:pStyle w:val="FirstParagraph"/>
      </w:pPr>
      <w:r>
        <w:t xml:space="preserve">GoFundMe’s Smart Coach helps people describe their need, receive validation and empathy, complete fundraiser details, publish, and generate sharing assets. Based on experiments, the company expects at least</w:t>
      </w:r>
      <w:r>
        <w:t xml:space="preserve"> </w:t>
      </w:r>
      <w:r>
        <w:rPr>
          <w:bCs/>
          <w:b/>
        </w:rPr>
        <w:t xml:space="preserve">$125 million</w:t>
      </w:r>
      <w:r>
        <w:t xml:space="preserve"> </w:t>
      </w:r>
      <w:r>
        <w:t xml:space="preserve">in additional funds raised from these features [1]. The team was deliberate about sequencing: it started with customer-facing features such as fundraiser story and title enhancement before focusing more on developer productivity, because those early features were already increasing donation volume [1]. Gross donation volume is the primary metric, and the platform says it has enabled more than</w:t>
      </w:r>
      <w:r>
        <w:t xml:space="preserve"> </w:t>
      </w:r>
      <w:r>
        <w:rPr>
          <w:bCs/>
          <w:b/>
        </w:rPr>
        <w:t xml:space="preserve">$40 billion</w:t>
      </w:r>
      <w:r>
        <w:t xml:space="preserve"> </w:t>
      </w:r>
      <w:r>
        <w:t xml:space="preserve">in help since 2010 [1].</w:t>
      </w:r>
    </w:p>
    <w:p>
      <w:pPr>
        <w:pStyle w:val="BodyText"/>
      </w:pPr>
      <w:r>
        <w:t xml:space="preserve">GoFundMe also introduced Public Profiles as a donor’s philanthropic identity, letting followers get notified when that donor gives again. The aim is to increase repeat engagement on the demand side and improve matching, rather than treating fundraisers as directly competing with one another for a fixed giving budget [1].</w:t>
      </w:r>
    </w:p>
    <w:p>
      <w:pPr>
        <w:numPr>
          <w:ilvl w:val="0"/>
          <w:numId w:val="1009"/>
        </w:numPr>
        <w:pStyle w:val="Compact"/>
      </w:pPr>
      <w:r>
        <w:rPr>
          <w:bCs/>
          <w:b/>
        </w:rPr>
        <w:t xml:space="preserve">Key takeaway:</w:t>
      </w:r>
      <w:r>
        <w:t xml:space="preserve"> </w:t>
      </w:r>
      <w:r>
        <w:t xml:space="preserve">Put AI first where it removes emotional or cognitive friction tied to the product’s core outcome [1].</w:t>
      </w:r>
    </w:p>
    <w:p>
      <w:pPr>
        <w:numPr>
          <w:ilvl w:val="0"/>
          <w:numId w:val="1009"/>
        </w:numPr>
        <w:pStyle w:val="Compact"/>
      </w:pPr>
      <w:r>
        <w:rPr>
          <w:bCs/>
          <w:b/>
        </w:rPr>
        <w:t xml:space="preserve">How to apply:</w:t>
      </w:r>
      <w:r>
        <w:t xml:space="preserve"> </w:t>
      </w:r>
      <w:r>
        <w:t xml:space="preserve">Look for steps where users struggle with language, confidence, or next actions. If models are already strong there, ship against the core metric before treating AI mainly as an internal productivity program [1].</w:t>
      </w:r>
    </w:p>
    <w:bookmarkEnd w:id="30"/>
    <w:bookmarkStart w:id="31" w:name="X8dd87b52099c9a85ad5abd067b4217f269f64da"/>
    <w:p>
      <w:pPr>
        <w:pStyle w:val="Heading3"/>
      </w:pPr>
      <w:r>
        <w:t xml:space="preserve">2) Owner: turn CRM and call data into roadmap signal</w:t>
      </w:r>
    </w:p>
    <w:p>
      <w:pPr>
        <w:pStyle w:val="FirstParagraph"/>
      </w:pPr>
      <w:r>
        <w:t xml:space="preserve">Owner’s CTO used a headless Salesforce integration with Momentum to analyze won and lost sales calls, identify the top feature gaps blocking deals, and understand the real reasons customers chose Owner over competitors [6]. The same setup enabled real-time analysis across</w:t>
      </w:r>
      <w:r>
        <w:t xml:space="preserve"> </w:t>
      </w:r>
      <w:r>
        <w:rPr>
          <w:bCs/>
          <w:b/>
        </w:rPr>
        <w:t xml:space="preserve">10,000</w:t>
      </w:r>
      <w:r>
        <w:t xml:space="preserve"> </w:t>
      </w:r>
      <w:r>
        <w:t xml:space="preserve">restaurant customers, turning Salesforce from an unpleasant system of record into a powerful product insights dataset [6].</w:t>
      </w:r>
    </w:p>
    <w:p>
      <w:pPr>
        <w:numPr>
          <w:ilvl w:val="0"/>
          <w:numId w:val="1010"/>
        </w:numPr>
        <w:pStyle w:val="Compact"/>
      </w:pPr>
      <w:r>
        <w:rPr>
          <w:bCs/>
          <w:b/>
        </w:rPr>
        <w:t xml:space="preserve">Key takeaway:</w:t>
      </w:r>
      <w:r>
        <w:t xml:space="preserve"> </w:t>
      </w:r>
      <w:r>
        <w:t xml:space="preserve">Win-loss data can become prioritization input if call transcripts and CRM data are structured for analysis [6].</w:t>
      </w:r>
    </w:p>
    <w:p>
      <w:pPr>
        <w:numPr>
          <w:ilvl w:val="0"/>
          <w:numId w:val="1010"/>
        </w:numPr>
        <w:pStyle w:val="Compact"/>
      </w:pPr>
      <w:r>
        <w:rPr>
          <w:bCs/>
          <w:b/>
        </w:rPr>
        <w:t xml:space="preserve">How to apply:</w:t>
      </w:r>
      <w:r>
        <w:t xml:space="preserve"> </w:t>
      </w:r>
      <w:r>
        <w:t xml:space="preserve">Do not leave sales conversations as anecdote. Instrument them so product can review recurring gaps, competitor mentions, and selection reasons as part of roadmap planning [6].</w:t>
      </w:r>
    </w:p>
    <w:bookmarkEnd w:id="31"/>
    <w:bookmarkStart w:id="32" w:name="Xedca3cc8b6fa0a69a514735763356b43b52642f"/>
    <w:p>
      <w:pPr>
        <w:pStyle w:val="Heading3"/>
      </w:pPr>
      <w:r>
        <w:t xml:space="preserve">3) Stripe: use network products to make existing workflows outperform</w:t>
      </w:r>
    </w:p>
    <w:p>
      <w:pPr>
        <w:pStyle w:val="FirstParagraph"/>
      </w:pPr>
      <w:r>
        <w:t xml:space="preserve">Stripe’s recent launch set shows the pattern clearly.</w:t>
      </w:r>
      <w:r>
        <w:t xml:space="preserve"> </w:t>
      </w:r>
      <w:r>
        <w:rPr>
          <w:bCs/>
          <w:b/>
        </w:rPr>
        <w:t xml:space="preserve">Checkout Studio</w:t>
      </w:r>
      <w:r>
        <w:t xml:space="preserve"> </w:t>
      </w:r>
      <w:r>
        <w:t xml:space="preserve">moves checkout management, transaction replays, and A/B tests into a dashboard instead of requiring production-code edits.</w:t>
      </w:r>
      <w:r>
        <w:t xml:space="preserve"> </w:t>
      </w:r>
      <w:r>
        <w:rPr>
          <w:bCs/>
          <w:b/>
        </w:rPr>
        <w:t xml:space="preserve">Adaptive Pricing</w:t>
      </w:r>
      <w:r>
        <w:t xml:space="preserve"> </w:t>
      </w:r>
      <w:r>
        <w:t xml:space="preserve">for subscriptions has produced</w:t>
      </w:r>
      <w:r>
        <w:t xml:space="preserve"> </w:t>
      </w:r>
      <w:r>
        <w:rPr>
          <w:bCs/>
          <w:b/>
        </w:rPr>
        <w:t xml:space="preserve">4–5%</w:t>
      </w:r>
      <w:r>
        <w:t xml:space="preserve"> </w:t>
      </w:r>
      <w:r>
        <w:t xml:space="preserve">conversion improvements by localizing price and currency.</w:t>
      </w:r>
      <w:r>
        <w:t xml:space="preserve"> </w:t>
      </w:r>
      <w:r>
        <w:rPr>
          <w:bCs/>
          <w:b/>
        </w:rPr>
        <w:t xml:space="preserve">Platform Growth Studio</w:t>
      </w:r>
      <w:r>
        <w:t xml:space="preserve"> </w:t>
      </w:r>
      <w:r>
        <w:t xml:space="preserve">uses Stripe network data to generate optimization recommendations.</w:t>
      </w:r>
      <w:r>
        <w:t xml:space="preserve"> </w:t>
      </w:r>
      <w:r>
        <w:rPr>
          <w:bCs/>
          <w:b/>
        </w:rPr>
        <w:t xml:space="preserve">Networked onboarding</w:t>
      </w:r>
      <w:r>
        <w:t xml:space="preserve"> </w:t>
      </w:r>
      <w:r>
        <w:t xml:space="preserve">for connected accounts has materially increased conversion rates. And</w:t>
      </w:r>
      <w:r>
        <w:t xml:space="preserve"> </w:t>
      </w:r>
      <w:r>
        <w:rPr>
          <w:bCs/>
          <w:b/>
        </w:rPr>
        <w:t xml:space="preserve">usage-based billing</w:t>
      </w:r>
      <w:r>
        <w:t xml:space="preserve"> </w:t>
      </w:r>
      <w:r>
        <w:t xml:space="preserve">features are being expanded because Stripe sees that model becoming the AI era’s default for many businesses [4].</w:t>
      </w:r>
    </w:p>
    <w:p>
      <w:pPr>
        <w:numPr>
          <w:ilvl w:val="0"/>
          <w:numId w:val="1011"/>
        </w:numPr>
        <w:pStyle w:val="Compact"/>
      </w:pPr>
      <w:r>
        <w:rPr>
          <w:bCs/>
          <w:b/>
        </w:rPr>
        <w:t xml:space="preserve">Key takeaway:</w:t>
      </w:r>
      <w:r>
        <w:t xml:space="preserve"> </w:t>
      </w:r>
      <w:r>
        <w:t xml:space="preserve">The moat is not only the feature. It is the accumulated network, data, and tooling that make the feature perform better [4].</w:t>
      </w:r>
    </w:p>
    <w:p>
      <w:pPr>
        <w:numPr>
          <w:ilvl w:val="0"/>
          <w:numId w:val="1011"/>
        </w:numPr>
        <w:pStyle w:val="Compact"/>
      </w:pPr>
      <w:r>
        <w:rPr>
          <w:bCs/>
          <w:b/>
        </w:rPr>
        <w:t xml:space="preserve">How to apply:</w:t>
      </w:r>
      <w:r>
        <w:t xml:space="preserve"> </w:t>
      </w:r>
      <w:r>
        <w:t xml:space="preserve">Prioritize ideas where more volume creates more value for users, such as better recommendations, better risk signals, easier onboarding, or better localization [4].</w:t>
      </w:r>
    </w:p>
    <w:bookmarkEnd w:id="32"/>
    <w:bookmarkEnd w:id="33"/>
    <w:bookmarkStart w:id="37" w:name="career-corner"/>
    <w:p>
      <w:pPr>
        <w:pStyle w:val="Heading2"/>
      </w:pPr>
      <w:r>
        <w:t xml:space="preserve">Career Corner</w:t>
      </w:r>
    </w:p>
    <w:bookmarkStart w:id="34" w:name="X1ff00e50da10e47431e06e0851931e195d8a017"/>
    <w:p>
      <w:pPr>
        <w:pStyle w:val="Heading3"/>
      </w:pPr>
      <w:r>
        <w:t xml:space="preserve">1) AI product sense is now a real filter in top PM hiring loops</w:t>
      </w:r>
    </w:p>
    <w:p>
      <w:pPr>
        <w:pStyle w:val="FirstParagraph"/>
      </w:pPr>
      <w:r>
        <w:t xml:space="preserve">One recent AI PM job search found that</w:t>
      </w:r>
      <w:r>
        <w:t xml:space="preserve"> </w:t>
      </w:r>
      <w:r>
        <w:rPr>
          <w:bCs/>
          <w:b/>
        </w:rPr>
        <w:t xml:space="preserve">70–80%</w:t>
      </w:r>
      <w:r>
        <w:t xml:space="preserve"> </w:t>
      </w:r>
      <w:r>
        <w:t xml:space="preserve">of rounds were still classic behavioral or standard product sense, but AI product sense appeared at every top AI company in the process [7]. The guide groups companies into three patterns: OpenAI, Anthropic, and Google DeepMind embed AI product sense across interviews; Meta and Figma use explicit rounds; others weave it into one or two otherwise standard rounds [7].</w:t>
      </w:r>
    </w:p>
    <w:p>
      <w:pPr>
        <w:numPr>
          <w:ilvl w:val="0"/>
          <w:numId w:val="1012"/>
        </w:numPr>
        <w:pStyle w:val="Compact"/>
      </w:pPr>
      <w:r>
        <w:rPr>
          <w:bCs/>
          <w:b/>
        </w:rPr>
        <w:t xml:space="preserve">Why it matters:</w:t>
      </w:r>
      <w:r>
        <w:t xml:space="preserve"> </w:t>
      </w:r>
      <w:r>
        <w:t xml:space="preserve">Candidates reported that AI product sense correlated more with level placement, compensation, and offer leverage than behavioral interviews [7]. As market context, cited US PM compensation medians were</w:t>
      </w:r>
      <w:r>
        <w:t xml:space="preserve"> </w:t>
      </w:r>
      <w:r>
        <w:rPr>
          <w:bCs/>
          <w:b/>
        </w:rPr>
        <w:t xml:space="preserve">OpenAI $860K</w:t>
      </w:r>
      <w:r>
        <w:t xml:space="preserve">,</w:t>
      </w:r>
      <w:r>
        <w:t xml:space="preserve"> </w:t>
      </w:r>
      <w:r>
        <w:rPr>
          <w:bCs/>
          <w:b/>
        </w:rPr>
        <w:t xml:space="preserve">Meta $515K</w:t>
      </w:r>
      <w:r>
        <w:t xml:space="preserve">,</w:t>
      </w:r>
      <w:r>
        <w:t xml:space="preserve"> </w:t>
      </w:r>
      <w:r>
        <w:rPr>
          <w:bCs/>
          <w:b/>
        </w:rPr>
        <w:t xml:space="preserve">Google $473K</w:t>
      </w:r>
      <w:r>
        <w:t xml:space="preserve">, and</w:t>
      </w:r>
      <w:r>
        <w:t xml:space="preserve"> </w:t>
      </w:r>
      <w:r>
        <w:rPr>
          <w:bCs/>
          <w:b/>
        </w:rPr>
        <w:t xml:space="preserve">Anthropic $468K</w:t>
      </w:r>
      <w:r>
        <w:t xml:space="preserve"> </w:t>
      </w:r>
      <w:r>
        <w:t xml:space="preserve">[7].</w:t>
      </w:r>
    </w:p>
    <w:p>
      <w:pPr>
        <w:numPr>
          <w:ilvl w:val="0"/>
          <w:numId w:val="1012"/>
        </w:numPr>
        <w:pStyle w:val="Compact"/>
      </w:pPr>
      <w:r>
        <w:rPr>
          <w:bCs/>
          <w:b/>
        </w:rPr>
        <w:t xml:space="preserve">How to apply:</w:t>
      </w:r>
      <w:r>
        <w:t xml:space="preserve"> </w:t>
      </w:r>
      <w:r>
        <w:t xml:space="preserve">Prepare AI-specific cases, not just generic product frameworks. A representative example from the guide: increasing Claude Code weekly active users by 10x [7].</w:t>
      </w:r>
    </w:p>
    <w:bookmarkEnd w:id="34"/>
    <w:bookmarkStart w:id="35" w:name="Xf4b8c6638a859055fb8993208e88b8ccb973094"/>
    <w:p>
      <w:pPr>
        <w:pStyle w:val="Heading3"/>
      </w:pPr>
      <w:r>
        <w:t xml:space="preserve">2) The unlabeled round may still be testing AI depth</w:t>
      </w:r>
    </w:p>
    <w:p>
      <w:pPr>
        <w:pStyle w:val="FirstParagraph"/>
      </w:pPr>
      <w:r>
        <w:t xml:space="preserve">The same guide argues that traditional frameworks such as CIRCLES are no longer enough on their own for AI roles because the candidate also needs fluency in agentic workflows, model capability trade-offs, and product surfaces built around AI behavior [7]. It also warns that companies may test AI fluency inside rounds that are not labeled as AI product sense at all [7]. Separately, Google AI PM Director Jaclyn Konzelmann says she asks five questions that test both product sense and AI depth in every candidate interview [7].</w:t>
      </w:r>
    </w:p>
    <w:p>
      <w:pPr>
        <w:numPr>
          <w:ilvl w:val="0"/>
          <w:numId w:val="1013"/>
        </w:numPr>
        <w:pStyle w:val="Compact"/>
      </w:pPr>
      <w:r>
        <w:rPr>
          <w:bCs/>
          <w:b/>
        </w:rPr>
        <w:t xml:space="preserve">Why it matters:</w:t>
      </w:r>
      <w:r>
        <w:t xml:space="preserve"> </w:t>
      </w:r>
      <w:r>
        <w:t xml:space="preserve">Recruiter labels may understate what the loop is actually measuring [7].</w:t>
      </w:r>
    </w:p>
    <w:p>
      <w:pPr>
        <w:numPr>
          <w:ilvl w:val="0"/>
          <w:numId w:val="1013"/>
        </w:numPr>
        <w:pStyle w:val="Compact"/>
      </w:pPr>
      <w:r>
        <w:rPr>
          <w:bCs/>
          <w:b/>
        </w:rPr>
        <w:t xml:space="preserve">How to apply:</w:t>
      </w:r>
      <w:r>
        <w:t xml:space="preserve"> </w:t>
      </w:r>
      <w:r>
        <w:t xml:space="preserve">For every product sense mock, add an AI layer: model choice, agent behavior, evaluation, safety, or workflow design [7].</w:t>
      </w:r>
    </w:p>
    <w:bookmarkEnd w:id="35"/>
    <w:bookmarkStart w:id="36" w:name="X44a9464d5347b7491edab4573ebbe987ca53281"/>
    <w:p>
      <w:pPr>
        <w:pStyle w:val="Heading3"/>
      </w:pPr>
      <w:r>
        <w:t xml:space="preserve">3) Builder fluency is becoming a practical career advantage</w:t>
      </w:r>
    </w:p>
    <w:p>
      <w:pPr>
        <w:pStyle w:val="FirstParagraph"/>
      </w:pPr>
      <w:r>
        <w:t xml:space="preserve">Aakash Gupta argues that non-technical PMs can now use Claude Code to ship internal tools and eval loops, not just write specs for others [8]. One suggested ramp is about</w:t>
      </w:r>
      <w:r>
        <w:t xml:space="preserve"> </w:t>
      </w:r>
      <w:r>
        <w:rPr>
          <w:bCs/>
          <w:b/>
        </w:rPr>
        <w:t xml:space="preserve">nine weeks</w:t>
      </w:r>
      <w:r>
        <w:t xml:space="preserve">: three weeks on n8n basics, three to four on Claude Code, and two to three on Open Claw [8]. The opportunity is not abstract. One example workflow was a nine-node contract risk analyzer with roughly</w:t>
      </w:r>
      <w:r>
        <w:t xml:space="preserve"> </w:t>
      </w:r>
      <w:r>
        <w:rPr>
          <w:bCs/>
          <w:b/>
        </w:rPr>
        <w:t xml:space="preserve">80% accuracy</w:t>
      </w:r>
      <w:r>
        <w:t xml:space="preserve"> </w:t>
      </w:r>
      <w:r>
        <w:t xml:space="preserve">at about</w:t>
      </w:r>
      <w:r>
        <w:t xml:space="preserve"> </w:t>
      </w:r>
      <w:r>
        <w:rPr>
          <w:bCs/>
          <w:b/>
        </w:rPr>
        <w:t xml:space="preserve">$200 per month</w:t>
      </w:r>
      <w:r>
        <w:t xml:space="preserve">, compared with a</w:t>
      </w:r>
      <w:r>
        <w:t xml:space="preserve"> </w:t>
      </w:r>
      <w:r>
        <w:rPr>
          <w:bCs/>
          <w:b/>
        </w:rPr>
        <w:t xml:space="preserve">$10K</w:t>
      </w:r>
      <w:r>
        <w:t xml:space="preserve"> </w:t>
      </w:r>
      <w:r>
        <w:t xml:space="preserve">vendor alternative. The argument was that the architecture is commodity, while judgment about playbooks, important clauses, and acceptable false positives remains the human value [9].</w:t>
      </w:r>
    </w:p>
    <w:p>
      <w:pPr>
        <w:numPr>
          <w:ilvl w:val="0"/>
          <w:numId w:val="1014"/>
        </w:numPr>
        <w:pStyle w:val="Compact"/>
      </w:pPr>
      <w:r>
        <w:rPr>
          <w:bCs/>
          <w:b/>
        </w:rPr>
        <w:t xml:space="preserve">Why it matters:</w:t>
      </w:r>
      <w:r>
        <w:t xml:space="preserve"> </w:t>
      </w:r>
      <w:r>
        <w:t xml:space="preserve">Builder fluency can shorten feedback loops and expand the scope of problems a PM can solve directly [8, 9].</w:t>
      </w:r>
    </w:p>
    <w:p>
      <w:pPr>
        <w:numPr>
          <w:ilvl w:val="0"/>
          <w:numId w:val="1014"/>
        </w:numPr>
        <w:pStyle w:val="Compact"/>
      </w:pPr>
      <w:r>
        <w:rPr>
          <w:bCs/>
          <w:b/>
        </w:rPr>
        <w:t xml:space="preserve">How to apply:</w:t>
      </w:r>
      <w:r>
        <w:t xml:space="preserve"> </w:t>
      </w:r>
      <w:r>
        <w:t xml:space="preserve">Start with one internal workflow that processes structured documents or repeatable decisions, build the eval layer, and keep the human judgment layer explicit [9].</w:t>
      </w:r>
    </w:p>
    <w:bookmarkEnd w:id="36"/>
    <w:bookmarkEnd w:id="37"/>
    <w:bookmarkStart w:id="50" w:name="tools-resources"/>
    <w:p>
      <w:pPr>
        <w:pStyle w:val="Heading2"/>
      </w:pPr>
      <w:r>
        <w:t xml:space="preserve">Tools &amp; Resources</w:t>
      </w:r>
    </w:p>
    <w:p>
      <w:pPr>
        <w:numPr>
          <w:ilvl w:val="0"/>
          <w:numId w:val="1015"/>
        </w:numPr>
        <w:pStyle w:val="Compact"/>
      </w:pPr>
      <w:r>
        <w:rPr>
          <w:bCs/>
          <w:b/>
        </w:rPr>
        <w:t xml:space="preserve">Synthetic feedback stack:</w:t>
      </w:r>
      <w:r>
        <w:t xml:space="preserve"> </w:t>
      </w:r>
      <w:r>
        <w:t xml:space="preserve">Reforge, Simile, Synthetic Users, Blok, and Evidenza are the tools Sachin Rekhi cited in this category. Use them for pre-interview concept testing, then benchmark synthetic output against live research quality [3].</w:t>
      </w:r>
    </w:p>
    <w:p>
      <w:pPr>
        <w:numPr>
          <w:ilvl w:val="0"/>
          <w:numId w:val="1015"/>
        </w:numPr>
        <w:pStyle w:val="Compact"/>
      </w:pPr>
      <w:hyperlink r:id="rId38">
        <w:r>
          <w:rPr>
            <w:rStyle w:val="Hyperlink"/>
            <w:bCs/>
            <w:b/>
          </w:rPr>
          <w:t xml:space="preserve">The AI Product Sense Interview Guide</w:t>
        </w:r>
      </w:hyperlink>
      <w:r>
        <w:rPr>
          <w:bCs/>
          <w:b/>
        </w:rPr>
        <w:t xml:space="preserve">:</w:t>
      </w:r>
      <w:r>
        <w:t xml:space="preserve"> </w:t>
      </w:r>
      <w:r>
        <w:t xml:space="preserve">A useful snapshot of how AI PM interview loops are changing and which cases to practice [7].</w:t>
      </w:r>
    </w:p>
    <w:p>
      <w:pPr>
        <w:numPr>
          <w:ilvl w:val="0"/>
          <w:numId w:val="1015"/>
        </w:numPr>
        <w:pStyle w:val="Compact"/>
      </w:pPr>
      <w:hyperlink r:id="rId39">
        <w:r>
          <w:rPr>
            <w:rStyle w:val="Hyperlink"/>
            <w:bCs/>
            <w:b/>
          </w:rPr>
          <w:t xml:space="preserve">Jaclyn Konzelmann’s 5 AI PM interview questions</w:t>
        </w:r>
      </w:hyperlink>
      <w:r>
        <w:rPr>
          <w:bCs/>
          <w:b/>
        </w:rPr>
        <w:t xml:space="preserve">:</w:t>
      </w:r>
      <w:r>
        <w:t xml:space="preserve"> </w:t>
      </w:r>
      <w:r>
        <w:t xml:space="preserve">Good for self-assessing whether your answers combine product sense and AI depth [7].</w:t>
      </w:r>
    </w:p>
    <w:p>
      <w:pPr>
        <w:numPr>
          <w:ilvl w:val="0"/>
          <w:numId w:val="1015"/>
        </w:numPr>
        <w:pStyle w:val="Compact"/>
      </w:pPr>
      <w:hyperlink r:id="rId40">
        <w:r>
          <w:rPr>
            <w:rStyle w:val="Hyperlink"/>
            <w:bCs/>
            <w:b/>
          </w:rPr>
          <w:t xml:space="preserve">GoFundMe CPTO on Building Marketplaces at Scale</w:t>
        </w:r>
      </w:hyperlink>
      <w:r>
        <w:rPr>
          <w:bCs/>
          <w:b/>
        </w:rPr>
        <w:t xml:space="preserve">:</w:t>
      </w:r>
      <w:r>
        <w:t xml:space="preserve"> </w:t>
      </w:r>
      <w:r>
        <w:t xml:space="preserve">Strong on org design, marketplace failure modes, and AI feature prioritization tied to a mission metric [1].</w:t>
      </w:r>
    </w:p>
    <w:p>
      <w:pPr>
        <w:numPr>
          <w:ilvl w:val="0"/>
          <w:numId w:val="1015"/>
        </w:numPr>
        <w:pStyle w:val="Compact"/>
      </w:pPr>
      <w:hyperlink r:id="rId41">
        <w:r>
          <w:rPr>
            <w:rStyle w:val="Hyperlink"/>
            <w:bCs/>
            <w:b/>
          </w:rPr>
          <w:t xml:space="preserve">Your users stopped visiting your product. Here’s where they went — Prathik Roy</w:t>
        </w:r>
      </w:hyperlink>
      <w:r>
        <w:rPr>
          <w:bCs/>
          <w:b/>
        </w:rPr>
        <w:t xml:space="preserve">:</w:t>
      </w:r>
      <w:r>
        <w:t xml:space="preserve"> </w:t>
      </w:r>
      <w:r>
        <w:t xml:space="preserve">Useful for content PMs working through rights, machine-readable structure, and data-as-a-service monetization [2].</w:t>
      </w:r>
    </w:p>
    <w:p>
      <w:pPr>
        <w:numPr>
          <w:ilvl w:val="0"/>
          <w:numId w:val="1015"/>
        </w:numPr>
        <w:pStyle w:val="Compact"/>
      </w:pPr>
      <w:hyperlink r:id="rId42">
        <w:r>
          <w:rPr>
            <w:rStyle w:val="Hyperlink"/>
            <w:bCs/>
            <w:b/>
          </w:rPr>
          <w:t xml:space="preserve">Builder PM note</w:t>
        </w:r>
      </w:hyperlink>
      <w:r>
        <w:rPr>
          <w:bCs/>
          <w:b/>
        </w:rPr>
        <w:t xml:space="preserve"> </w:t>
      </w:r>
      <w:r>
        <w:rPr>
          <w:bCs/>
          <w:b/>
        </w:rPr>
        <w:t xml:space="preserve">and</w:t>
      </w:r>
      <w:r>
        <w:rPr>
          <w:bCs/>
          <w:b/>
        </w:rPr>
        <w:t xml:space="preserve"> </w:t>
      </w:r>
      <w:hyperlink r:id="rId43">
        <w:r>
          <w:rPr>
            <w:rStyle w:val="Hyperlink"/>
            <w:bCs/>
            <w:b/>
          </w:rPr>
          <w:t xml:space="preserve">contract risk analyzer note</w:t>
        </w:r>
      </w:hyperlink>
      <w:r>
        <w:rPr>
          <w:bCs/>
          <w:b/>
        </w:rPr>
        <w:t xml:space="preserve">:</w:t>
      </w:r>
      <w:r>
        <w:t xml:space="preserve"> </w:t>
      </w:r>
      <w:r>
        <w:t xml:space="preserve">Practical starting points for PMs learning Claude Code, n8n, and eval-driven internal tooling [8, 9].</w:t>
      </w:r>
    </w:p>
    <w:p>
      <w:pPr>
        <w:numPr>
          <w:ilvl w:val="0"/>
          <w:numId w:val="1015"/>
        </w:numPr>
        <w:pStyle w:val="Compact"/>
      </w:pPr>
      <w:hyperlink r:id="rId44">
        <w:r>
          <w:rPr>
            <w:rStyle w:val="Hyperlink"/>
            <w:bCs/>
            <w:b/>
          </w:rPr>
          <w:t xml:space="preserve">Stripe link-cli</w:t>
        </w:r>
      </w:hyperlink>
      <w:r>
        <w:rPr>
          <w:bCs/>
          <w:b/>
        </w:rPr>
        <w:t xml:space="preserve">:</w:t>
      </w:r>
      <w:r>
        <w:t xml:space="preserve"> </w:t>
      </w:r>
      <w:r>
        <w:t xml:space="preserve">A concrete example of an agent-friendly payments surface from Stripe’s latest launch set [4].</w:t>
      </w:r>
    </w:p>
    <w:p>
      <w:r>
        <w:pict>
          <v:rect style="width:0;height:1.5pt" o:hralign="center" o:hrstd="t" o:hr="t"/>
        </w:pict>
      </w:r>
    </w:p>
    <w:bookmarkStart w:id="49" w:name="sources"/>
    <w:p>
      <w:pPr>
        <w:pStyle w:val="Heading3"/>
      </w:pPr>
      <w:r>
        <w:t xml:space="preserve">Sources</w:t>
      </w:r>
    </w:p>
    <w:p>
      <w:pPr>
        <w:numPr>
          <w:ilvl w:val="0"/>
          <w:numId w:val="1016"/>
        </w:numPr>
        <w:pStyle w:val="Compact"/>
      </w:pPr>
      <w:hyperlink r:id="rId40">
        <w:r>
          <w:rPr>
            <w:rStyle w:val="Hyperlink"/>
          </w:rPr>
          <w:t xml:space="preserve">GoFundMe CPTO on Building Marketplaces at Scale | Arnie Katz | E294</w:t>
        </w:r>
      </w:hyperlink>
    </w:p>
    <w:p>
      <w:pPr>
        <w:numPr>
          <w:ilvl w:val="0"/>
          <w:numId w:val="1016"/>
        </w:numPr>
        <w:pStyle w:val="Compact"/>
      </w:pPr>
      <w:hyperlink r:id="rId41">
        <w:r>
          <w:rPr>
            <w:rStyle w:val="Hyperlink"/>
          </w:rPr>
          <w:t xml:space="preserve">Your users stopped visiting your product. Here’s where they went — Prathik Roy (Springer Nature)</w:t>
        </w:r>
      </w:hyperlink>
    </w:p>
    <w:p>
      <w:pPr>
        <w:numPr>
          <w:ilvl w:val="0"/>
          <w:numId w:val="1016"/>
        </w:numPr>
        <w:pStyle w:val="Compact"/>
      </w:pPr>
      <w:hyperlink r:id="rId45">
        <w:r>
          <w:rPr>
            <w:rStyle w:val="Hyperlink"/>
          </w:rPr>
          <w:t xml:space="preserve">𝕏 post by</w:t>
        </w:r>
        <w:r>
          <w:rPr>
            <w:rStyle w:val="Hyperlink"/>
          </w:rPr>
          <w:t xml:space="preserve"> </w:t>
        </w:r>
        <w:r>
          <w:rPr>
            <w:rStyle w:val="Hyperlink"/>
          </w:rPr>
          <w:t xml:space="preserve">@sachinrekhi</w:t>
        </w:r>
      </w:hyperlink>
    </w:p>
    <w:p>
      <w:pPr>
        <w:numPr>
          <w:ilvl w:val="0"/>
          <w:numId w:val="1016"/>
        </w:numPr>
        <w:pStyle w:val="Compact"/>
      </w:pPr>
      <w:hyperlink r:id="rId46">
        <w:r>
          <w:rPr>
            <w:rStyle w:val="Hyperlink"/>
          </w:rPr>
          <w:t xml:space="preserve">𝕏 post by</w:t>
        </w:r>
        <w:r>
          <w:rPr>
            <w:rStyle w:val="Hyperlink"/>
          </w:rPr>
          <w:t xml:space="preserve"> </w:t>
        </w:r>
        <w:r>
          <w:rPr>
            <w:rStyle w:val="Hyperlink"/>
          </w:rPr>
          <w:t xml:space="preserve">@patrickc</w:t>
        </w:r>
      </w:hyperlink>
    </w:p>
    <w:p>
      <w:pPr>
        <w:numPr>
          <w:ilvl w:val="0"/>
          <w:numId w:val="1016"/>
        </w:numPr>
        <w:pStyle w:val="Compact"/>
      </w:pPr>
      <w:hyperlink r:id="rId47">
        <w:r>
          <w:rPr>
            <w:rStyle w:val="Hyperlink"/>
          </w:rPr>
          <w:t xml:space="preserve">How to Build Products People Can’t Quit (Product Psychology Playbook)</w:t>
        </w:r>
      </w:hyperlink>
    </w:p>
    <w:p>
      <w:pPr>
        <w:numPr>
          <w:ilvl w:val="0"/>
          <w:numId w:val="1016"/>
        </w:numPr>
        <w:pStyle w:val="Compact"/>
      </w:pPr>
      <w:hyperlink r:id="rId48">
        <w:r>
          <w:rPr>
            <w:rStyle w:val="Hyperlink"/>
          </w:rPr>
          <w:t xml:space="preserve">We Let Our AI VP of Marketing Run Free. The Agents #003</w:t>
        </w:r>
      </w:hyperlink>
    </w:p>
    <w:p>
      <w:pPr>
        <w:numPr>
          <w:ilvl w:val="0"/>
          <w:numId w:val="1016"/>
        </w:numPr>
        <w:pStyle w:val="Compact"/>
      </w:pPr>
      <w:hyperlink r:id="rId38">
        <w:r>
          <w:rPr>
            <w:rStyle w:val="Hyperlink"/>
          </w:rPr>
          <w:t xml:space="preserve">The AI Product Sense Interview Guide</w:t>
        </w:r>
      </w:hyperlink>
    </w:p>
    <w:p>
      <w:pPr>
        <w:numPr>
          <w:ilvl w:val="0"/>
          <w:numId w:val="1016"/>
        </w:numPr>
        <w:pStyle w:val="Compact"/>
      </w:pPr>
      <w:hyperlink r:id="rId42">
        <w:r>
          <w:rPr>
            <w:rStyle w:val="Hyperlink"/>
          </w:rPr>
          <w:t xml:space="preserve">substack</w:t>
        </w:r>
      </w:hyperlink>
    </w:p>
    <w:p>
      <w:pPr>
        <w:numPr>
          <w:ilvl w:val="0"/>
          <w:numId w:val="1016"/>
        </w:numPr>
        <w:pStyle w:val="Compact"/>
      </w:pPr>
      <w:hyperlink r:id="rId43">
        <w:r>
          <w:rPr>
            <w:rStyle w:val="Hyperlink"/>
          </w:rPr>
          <w:t xml:space="preserve">substack</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blog.jaclynkonzelmann.com/p/what-i-look-for-in-an-ai-pm-part-273" TargetMode="External" /><Relationship Type="http://schemas.openxmlformats.org/officeDocument/2006/relationships/hyperlink" Id="rId44" Target="https://github.com/stripe/link-cli" TargetMode="External" /><Relationship Type="http://schemas.openxmlformats.org/officeDocument/2006/relationships/hyperlink" Id="rId42" Target="https://substack.com/@aakashgupta/note/c-251111610" TargetMode="External" /><Relationship Type="http://schemas.openxmlformats.org/officeDocument/2006/relationships/hyperlink" Id="rId43" Target="https://substack.com/@aakashgupta/note/c-251386653" TargetMode="External" /><Relationship Type="http://schemas.openxmlformats.org/officeDocument/2006/relationships/hyperlink" Id="rId38" Target="https://www.news.aakashg.com/p/ai-product-sense-guide" TargetMode="External" /><Relationship Type="http://schemas.openxmlformats.org/officeDocument/2006/relationships/hyperlink" Id="rId47" Target="https://www.youtube.com/watch?v=Ft45pH3fYok" TargetMode="External" /><Relationship Type="http://schemas.openxmlformats.org/officeDocument/2006/relationships/hyperlink" Id="rId40" Target="https://www.youtube.com/watch?v=H0_tiOI_HPE" TargetMode="External" /><Relationship Type="http://schemas.openxmlformats.org/officeDocument/2006/relationships/hyperlink" Id="rId41" Target="https://www.youtube.com/watch?v=Mt1E4LTU37U" TargetMode="External" /><Relationship Type="http://schemas.openxmlformats.org/officeDocument/2006/relationships/hyperlink" Id="rId48" Target="https://www.youtube.com/watch?v=ygKYj3aPvew" TargetMode="External" /><Relationship Type="http://schemas.openxmlformats.org/officeDocument/2006/relationships/hyperlink" Id="rId46" Target="https://x.com/patrickc/status/2049705418436600244" TargetMode="External" /><Relationship Type="http://schemas.openxmlformats.org/officeDocument/2006/relationships/hyperlink" Id="rId45" Target="https://x.com/sachinrekhi/status/2049504281284476953" TargetMode="External" /></Relationships>
</file>

<file path=word/_rels/footnotes.xml.rels><?xml version="1.0" encoding="UTF-8"?><Relationships xmlns="http://schemas.openxmlformats.org/package/2006/relationships"><Relationship Type="http://schemas.openxmlformats.org/officeDocument/2006/relationships/hyperlink" Id="rId39" Target="https://blog.jaclynkonzelmann.com/p/what-i-look-for-in-an-ai-pm-part-273" TargetMode="External" /><Relationship Type="http://schemas.openxmlformats.org/officeDocument/2006/relationships/hyperlink" Id="rId44" Target="https://github.com/stripe/link-cli" TargetMode="External" /><Relationship Type="http://schemas.openxmlformats.org/officeDocument/2006/relationships/hyperlink" Id="rId42" Target="https://substack.com/@aakashgupta/note/c-251111610" TargetMode="External" /><Relationship Type="http://schemas.openxmlformats.org/officeDocument/2006/relationships/hyperlink" Id="rId43" Target="https://substack.com/@aakashgupta/note/c-251386653" TargetMode="External" /><Relationship Type="http://schemas.openxmlformats.org/officeDocument/2006/relationships/hyperlink" Id="rId38" Target="https://www.news.aakashg.com/p/ai-product-sense-guide" TargetMode="External" /><Relationship Type="http://schemas.openxmlformats.org/officeDocument/2006/relationships/hyperlink" Id="rId47" Target="https://www.youtube.com/watch?v=Ft45pH3fYok" TargetMode="External" /><Relationship Type="http://schemas.openxmlformats.org/officeDocument/2006/relationships/hyperlink" Id="rId40" Target="https://www.youtube.com/watch?v=H0_tiOI_HPE" TargetMode="External" /><Relationship Type="http://schemas.openxmlformats.org/officeDocument/2006/relationships/hyperlink" Id="rId41" Target="https://www.youtube.com/watch?v=Mt1E4LTU37U" TargetMode="External" /><Relationship Type="http://schemas.openxmlformats.org/officeDocument/2006/relationships/hyperlink" Id="rId48" Target="https://www.youtube.com/watch?v=ygKYj3aPvew" TargetMode="External" /><Relationship Type="http://schemas.openxmlformats.org/officeDocument/2006/relationships/hyperlink" Id="rId46" Target="https://x.com/patrickc/status/2049705418436600244" TargetMode="External" /><Relationship Type="http://schemas.openxmlformats.org/officeDocument/2006/relationships/hyperlink" Id="rId45" Target="https://x.com/sachinrekhi/status/20495042812844769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Faster Product Learning, AI-Era Monetization, and the New PM Skill Bar</dc:title>
  <dc:creator>PM Daily Digest</dc:creator>
  <cp:keywords/>
  <dcterms:created xsi:type="dcterms:W3CDTF">2026-04-30T11:35:08Z</dcterms:created>
  <dcterms:modified xsi:type="dcterms:W3CDTF">2026-04-30T11:35:08Z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2026-04-30</vt:lpwstr>
  </property>
</Properties>
</file>