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From Agent Evals to Glass-Box Enterprise AI</w:t>
      </w:r>
    </w:p>
    <w:p>
      <w:pPr>
        <w:pStyle w:val="Author"/>
      </w:pPr>
      <w:r>
        <w:t xml:space="preserve">PM Daily Digest</w:t>
      </w:r>
    </w:p>
    <w:p>
      <w:pPr>
        <w:pStyle w:val="Date"/>
      </w:pPr>
      <w:r>
        <w:t xml:space="preserve">2026-08-01</w:t>
      </w:r>
    </w:p>
    <w:bookmarkStart w:id="34" w:name="X92820b4edb97e168098c6904540d9195ad45b80"/>
    <w:p>
      <w:pPr>
        <w:pStyle w:val="Heading1"/>
      </w:pPr>
      <w:r>
        <w:t xml:space="preserve">From Agent Evals to Glass-Box Enterprise AI</w:t>
      </w:r>
    </w:p>
    <w:p>
      <w:pPr>
        <w:pStyle w:val="FirstParagraph"/>
      </w:pPr>
      <w:r>
        <w:rPr>
          <w:iCs/>
          <w:i/>
        </w:rPr>
        <w:t xml:space="preserve">By PM Daily Digest • August 1, 2026</w:t>
      </w:r>
    </w:p>
    <w:p>
      <w:pPr>
        <w:pStyle w:val="BodyText"/>
      </w:pPr>
      <w:r>
        <w:t xml:space="preserve">Supabase’s agent benchmark and Decagon’s productized deployment model point to a new PM bar: measure real workflows, turn implementation into reusable product, and preserve human taste.</w:t>
      </w:r>
    </w:p>
    <w:bookmarkStart w:id="20" w:name="big-ideas"/>
    <w:p>
      <w:pPr>
        <w:pStyle w:val="Heading2"/>
      </w:pPr>
      <w:r>
        <w:t xml:space="preserve">Big Ideas</w:t>
      </w:r>
    </w:p>
    <w:p>
      <w:pPr>
        <w:pStyle w:val="FirstParagraph"/>
      </w:pPr>
      <w:r>
        <w:rPr>
          <w:bCs/>
          <w:b/>
        </w:rPr>
        <w:t xml:space="preserve">Agent compatibility is moving from claim to test.</w:t>
      </w:r>
      <w:r>
        <w:t xml:space="preserve"> </w:t>
      </w:r>
      <w:r>
        <w:t xml:space="preserve">Supabase introduced Evals, running Claude Code, Codex, and Open Code against real tasks and scoring what they do. [1] Paul Graham says he expects all services used by agents eventually to adopt such tests—and that services agents cannot use could go out of business. [2] For PMs, define</w:t>
      </w:r>
      <w:r>
        <w:t xml:space="preserve"> </w:t>
      </w:r>
      <w:r>
        <w:t xml:space="preserve">“</w:t>
      </w:r>
      <w:r>
        <w:t xml:space="preserve">agent-ready</w:t>
      </w:r>
      <w:r>
        <w:t xml:space="preserve">”</w:t>
      </w:r>
      <w:r>
        <w:t xml:space="preserve"> </w:t>
      </w:r>
      <w:r>
        <w:t xml:space="preserve">through representative workflows and measurable success criteria; turn failed runs into product priorities.</w:t>
      </w:r>
    </w:p>
    <w:p>
      <w:pPr>
        <w:pStyle w:val="BodyText"/>
      </w:pPr>
      <w:r>
        <w:rPr>
          <w:bCs/>
          <w:b/>
        </w:rPr>
        <w:t xml:space="preserve">Fast AI cycles favor stable direction over detailed schedules.</w:t>
      </w:r>
      <w:r>
        <w:t xml:space="preserve"> </w:t>
      </w:r>
      <w:r>
        <w:t xml:space="preserve">Decagon says a precise 12-month roadmap is difficult when build cycles are so fast; it keeps themes and a clear long-term vision, lets customer signals determine what to build, and retains human judgment over what to include or exclude. [3] Apply this as</w:t>
      </w:r>
      <w:r>
        <w:t xml:space="preserve"> </w:t>
      </w:r>
      <w:r>
        <w:t xml:space="preserve">“</w:t>
      </w:r>
      <w:r>
        <w:t xml:space="preserve">stable vision, short commitment horizons</w:t>
      </w:r>
      <w:r>
        <w:t xml:space="preserve">”</w:t>
      </w:r>
      <w:r>
        <w:t xml:space="preserve">: make the current bet explicit, keep later bets provisional, and review them against fresh customer evidence.</w:t>
      </w:r>
    </w:p>
    <w:bookmarkEnd w:id="20"/>
    <w:bookmarkStart w:id="21" w:name="tactical-playbook"/>
    <w:p>
      <w:pPr>
        <w:pStyle w:val="Heading2"/>
      </w:pPr>
      <w:r>
        <w:t xml:space="preserve">Tactical Playbook</w:t>
      </w:r>
    </w:p>
    <w:p>
      <w:pPr>
        <w:pStyle w:val="FirstParagraph"/>
      </w:pPr>
      <w:r>
        <w:rPr>
          <w:bCs/>
          <w:b/>
        </w:rPr>
        <w:t xml:space="preserve">Make feedback earn a roadmap slot.</w:t>
      </w:r>
      <w:r>
        <w:t xml:space="preserve"> </w:t>
      </w:r>
      <w:r>
        <w:t xml:space="preserve">A community practitioner’s process is: stop accepting feature requests and capture the problem or symptom; quarterly observe 10–15 users in their normal environment; collect about 15 pains; have 100–150 users rank them; prioritize with a weighted average; and reserve roughly one-third of sprint capacity for customer-satisfaction fixes, leaving two-thirds for strategy and technical debt. [4] Use those figures as a starting hypothesis, not a law. At minimum, track each theme’s source, segment, observed behavior, frequency, severity, and blocked business outcome; promote it only when evidence is strong, and link the roadmap item to the evidence and to what would change your mind. [5]</w:t>
      </w:r>
    </w:p>
    <w:p>
      <w:pPr>
        <w:pStyle w:val="BodyText"/>
      </w:pPr>
      <w:r>
        <w:rPr>
          <w:bCs/>
          <w:b/>
        </w:rPr>
        <w:t xml:space="preserve">Separate</w:t>
      </w:r>
      <w:r>
        <w:rPr>
          <w:bCs/>
          <w:b/>
        </w:rPr>
        <w:t xml:space="preserve"> </w:t>
      </w:r>
      <w:r>
        <w:rPr>
          <w:bCs/>
          <w:b/>
        </w:rPr>
        <w:t xml:space="preserve">“</w:t>
      </w:r>
      <w:r>
        <w:rPr>
          <w:bCs/>
          <w:b/>
        </w:rPr>
        <w:t xml:space="preserve">Now</w:t>
      </w:r>
      <w:r>
        <w:rPr>
          <w:bCs/>
          <w:b/>
        </w:rPr>
        <w:t xml:space="preserve">”</w:t>
      </w:r>
      <w:r>
        <w:rPr>
          <w:bCs/>
          <w:b/>
        </w:rPr>
        <w:t xml:space="preserve"> </w:t>
      </w:r>
      <w:r>
        <w:rPr>
          <w:bCs/>
          <w:b/>
        </w:rPr>
        <w:t xml:space="preserve">from discovery.</w:t>
      </w:r>
      <w:r>
        <w:t xml:space="preserve"> </w:t>
      </w:r>
      <w:r>
        <w:t xml:space="preserve">One startup stopped weekly roadmap churn by keeping Now stable except for critical or regulatory items while allowing Next and Later to change; the commenter says the approach held through acquisition and scale-up. [6] The organizational prerequisite is role clarity: define what PM owns before hiring, and keep early teams on high-trust, light rituals rather than importing frameworks and OKR cascades too soon. [7]</w:t>
      </w:r>
    </w:p>
    <w:bookmarkEnd w:id="21"/>
    <w:bookmarkStart w:id="22" w:name="case-studies-lessons"/>
    <w:p>
      <w:pPr>
        <w:pStyle w:val="Heading2"/>
      </w:pPr>
      <w:r>
        <w:t xml:space="preserve">Case Studies &amp; Lessons</w:t>
      </w:r>
    </w:p>
    <w:p>
      <w:pPr>
        <w:pStyle w:val="FirstParagraph"/>
      </w:pPr>
      <w:r>
        <w:rPr>
          <w:bCs/>
          <w:b/>
        </w:rPr>
        <w:t xml:space="preserve">Decagon’s</w:t>
      </w:r>
      <w:r>
        <w:rPr>
          <w:bCs/>
          <w:b/>
        </w:rPr>
        <w:t xml:space="preserve"> </w:t>
      </w:r>
      <w:r>
        <w:rPr>
          <w:bCs/>
          <w:b/>
        </w:rPr>
        <w:t xml:space="preserve">“</w:t>
      </w:r>
      <w:r>
        <w:rPr>
          <w:bCs/>
          <w:b/>
        </w:rPr>
        <w:t xml:space="preserve">glass box</w:t>
      </w:r>
      <w:r>
        <w:rPr>
          <w:bCs/>
          <w:b/>
        </w:rPr>
        <w:t xml:space="preserve">”</w:t>
      </w:r>
      <w:r>
        <w:rPr>
          <w:bCs/>
          <w:b/>
        </w:rPr>
        <w:t xml:space="preserve"> </w:t>
      </w:r>
      <w:r>
        <w:rPr>
          <w:bCs/>
          <w:b/>
        </w:rPr>
        <w:t xml:space="preserve">turns deployment into product.</w:t>
      </w:r>
      <w:r>
        <w:t xml:space="preserve"> </w:t>
      </w:r>
      <w:r>
        <w:t xml:space="preserve">Its forward-deployed teams are expected to contribute to core product, so a capability built for one enterprise becomes available to the next 10 customers rather than remaining one-off work. [3] In a customer comparison, a Sierra deployment produced about three new journeys over a year because the customer depended on forward-deployed engineers; with Decagon’s productized model, the same customer created about seven in a month, with nontechnical teams able to act directly. [3] Lesson: treat recurring implementation labor as product debt. Instrument what specialists repeatedly do, generalize it, and give customers enough control to iterate without waiting on the vendor.</w:t>
      </w:r>
    </w:p>
    <w:bookmarkEnd w:id="22"/>
    <w:bookmarkStart w:id="23" w:name="career-corner"/>
    <w:p>
      <w:pPr>
        <w:pStyle w:val="Heading2"/>
      </w:pPr>
      <w:r>
        <w:t xml:space="preserve">Career Corner</w:t>
      </w:r>
    </w:p>
    <w:p>
      <w:pPr>
        <w:pStyle w:val="FirstParagraph"/>
      </w:pPr>
      <w:r>
        <w:rPr>
          <w:bCs/>
          <w:b/>
        </w:rPr>
        <w:t xml:space="preserve">PM interviews are becoming build tests.</w:t>
      </w:r>
      <w:r>
        <w:t xml:space="preserve"> </w:t>
      </w:r>
      <w:r>
        <w:t xml:space="preserve">The discussion describes companies replacing presentation rounds with live prototypes to assess</w:t>
      </w:r>
      <w:r>
        <w:t xml:space="preserve"> </w:t>
      </w:r>
      <w:r>
        <w:t xml:space="preserve">“</w:t>
      </w:r>
      <w:r>
        <w:t xml:space="preserve">full stack builders.</w:t>
      </w:r>
      <w:r>
        <w:t xml:space="preserve">”</w:t>
      </w:r>
      <w:r>
        <w:t xml:space="preserve"> </w:t>
      </w:r>
      <w:r>
        <w:t xml:space="preserve">[8] Evaluators look for taste and decision ownership—not a prototype where AI made all the choices—and flag generic copy, weak underlying data, and designs that feel like AI output. [8] Prepare by giving the tool context in three buckets—functionality, design, and data—then attach a wireframe and realistic dataset; add a live API and be ready to explain front/back-end boundaries, security, model choice, and caching. [8]</w:t>
      </w:r>
    </w:p>
    <w:bookmarkEnd w:id="23"/>
    <w:bookmarkStart w:id="33" w:name="tools-resources"/>
    <w:p>
      <w:pPr>
        <w:pStyle w:val="Heading2"/>
      </w:pPr>
      <w:r>
        <w:t xml:space="preserve">Tools &amp; Resources</w:t>
      </w:r>
    </w:p>
    <w:p>
      <w:pPr>
        <w:pStyle w:val="FirstParagraph"/>
      </w:pPr>
      <w:r>
        <w:rPr>
          <w:bCs/>
          <w:b/>
        </w:rPr>
        <w:t xml:space="preserve">Choose the prototype stack by the job.</w:t>
      </w:r>
      <w:r>
        <w:t xml:space="preserve"> </w:t>
      </w:r>
      <w:r>
        <w:t xml:space="preserve">The current tool map separates design-system/front-end tools (Reforge Build, Magic Patterns, Alloy), full-stack zero-to-one tools (Lovable, Bolt, Replit), and full AI development tools (Claude Code, Codex). [8] For interview work, the recommended differentiators are visual context, thoughtful copy and data, and a working API—not faster generic generation. [8]</w:t>
      </w:r>
    </w:p>
    <w:p>
      <w:r>
        <w:pict>
          <v:rect style="width:0;height:1.5pt" o:hralign="center" o:hrstd="t" o:hr="t"/>
        </w:pict>
      </w:r>
    </w:p>
    <w:bookmarkStart w:id="32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1"/>
        </w:numPr>
        <w:pStyle w:val="Compact"/>
      </w:pPr>
      <w:hyperlink r:id="rId2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@supabase</w:t>
        </w:r>
      </w:hyperlink>
    </w:p>
    <w:p>
      <w:pPr>
        <w:numPr>
          <w:ilvl w:val="0"/>
          <w:numId w:val="1001"/>
        </w:numPr>
        <w:pStyle w:val="Compact"/>
      </w:pPr>
      <w:hyperlink r:id="rId2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@paulg</w:t>
        </w:r>
      </w:hyperlink>
    </w:p>
    <w:p>
      <w:pPr>
        <w:numPr>
          <w:ilvl w:val="0"/>
          <w:numId w:val="1001"/>
        </w:numPr>
        <w:pStyle w:val="Compact"/>
      </w:pPr>
      <w:hyperlink r:id="rId26">
        <w:r>
          <w:rPr>
            <w:rStyle w:val="Hyperlink"/>
          </w:rPr>
          <w:t xml:space="preserve">Decagon’s Playbook for Building Enterprise AI Applications</w:t>
        </w:r>
      </w:hyperlink>
    </w:p>
    <w:p>
      <w:pPr>
        <w:numPr>
          <w:ilvl w:val="0"/>
          <w:numId w:val="1001"/>
        </w:numPr>
        <w:pStyle w:val="Compact"/>
      </w:pPr>
      <w:hyperlink r:id="rId27">
        <w:r>
          <w:rPr>
            <w:rStyle w:val="Hyperlink"/>
          </w:rPr>
          <w:t xml:space="preserve">r/ProductManagement comment by u/GeorgeHarter</w:t>
        </w:r>
      </w:hyperlink>
    </w:p>
    <w:p>
      <w:pPr>
        <w:numPr>
          <w:ilvl w:val="0"/>
          <w:numId w:val="1001"/>
        </w:numPr>
        <w:pStyle w:val="Compact"/>
      </w:pPr>
      <w:hyperlink r:id="rId28">
        <w:r>
          <w:rPr>
            <w:rStyle w:val="Hyperlink"/>
          </w:rPr>
          <w:t xml:space="preserve">r/ProductManagement comment by u/coolreddy</w:t>
        </w:r>
      </w:hyperlink>
    </w:p>
    <w:p>
      <w:pPr>
        <w:numPr>
          <w:ilvl w:val="0"/>
          <w:numId w:val="1001"/>
        </w:numPr>
        <w:pStyle w:val="Compact"/>
      </w:pPr>
      <w:hyperlink r:id="rId29">
        <w:r>
          <w:rPr>
            <w:rStyle w:val="Hyperlink"/>
          </w:rPr>
          <w:t xml:space="preserve">r/ProductManagement comment by u/LakeHold</w:t>
        </w:r>
      </w:hyperlink>
    </w:p>
    <w:p>
      <w:pPr>
        <w:numPr>
          <w:ilvl w:val="0"/>
          <w:numId w:val="1001"/>
        </w:numPr>
        <w:pStyle w:val="Compact"/>
      </w:pPr>
      <w:hyperlink r:id="rId30">
        <w:r>
          <w:rPr>
            <w:rStyle w:val="Hyperlink"/>
          </w:rPr>
          <w:t xml:space="preserve">r/ProductManagement comment by u/rash3rr</w:t>
        </w:r>
      </w:hyperlink>
    </w:p>
    <w:p>
      <w:pPr>
        <w:numPr>
          <w:ilvl w:val="0"/>
          <w:numId w:val="1001"/>
        </w:numPr>
        <w:pStyle w:val="Compact"/>
      </w:pPr>
      <w:hyperlink r:id="rId31">
        <w:r>
          <w:rPr>
            <w:rStyle w:val="Hyperlink"/>
          </w:rPr>
          <w:t xml:space="preserve">Prototyping in Interviews | Theory &amp; Practice</w:t>
        </w:r>
      </w:hyperlink>
    </w:p>
    <w:bookmarkEnd w:id="32"/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7" Target="https://www.reddit.com/r/ProductManagement/comments/1vbqvwf/comment/p0vn9mw/" TargetMode="External" /><Relationship Type="http://schemas.openxmlformats.org/officeDocument/2006/relationships/hyperlink" Id="rId28" Target="https://www.reddit.com/r/ProductManagement/comments/1vbqvwf/comment/p0xfe25/" TargetMode="External" /><Relationship Type="http://schemas.openxmlformats.org/officeDocument/2006/relationships/hyperlink" Id="rId29" Target="https://www.reddit.com/r/ProductManagement/comments/1vbso6g/comment/p0xm59r/" TargetMode="External" /><Relationship Type="http://schemas.openxmlformats.org/officeDocument/2006/relationships/hyperlink" Id="rId30" Target="https://www.reddit.com/r/ProductManagement/comments/1vc0r45/comment/p0xr1ue/" TargetMode="External" /><Relationship Type="http://schemas.openxmlformats.org/officeDocument/2006/relationships/hyperlink" Id="rId31" Target="https://www.youtube.com/watch?v=G_Ek-NOpAuQ" TargetMode="External" /><Relationship Type="http://schemas.openxmlformats.org/officeDocument/2006/relationships/hyperlink" Id="rId26" Target="https://www.youtube.com/watch?v=cO1f2wOxSH4" TargetMode="External" /><Relationship Type="http://schemas.openxmlformats.org/officeDocument/2006/relationships/hyperlink" Id="rId25" Target="https://x.com/paulg/status/2083289602127716384" TargetMode="External" /><Relationship Type="http://schemas.openxmlformats.org/officeDocument/2006/relationships/hyperlink" Id="rId24" Target="https://x.com/supabase/status/208328215517034089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s://www.reddit.com/r/ProductManagement/comments/1vbqvwf/comment/p0vn9mw/" TargetMode="External" /><Relationship Type="http://schemas.openxmlformats.org/officeDocument/2006/relationships/hyperlink" Id="rId28" Target="https://www.reddit.com/r/ProductManagement/comments/1vbqvwf/comment/p0xfe25/" TargetMode="External" /><Relationship Type="http://schemas.openxmlformats.org/officeDocument/2006/relationships/hyperlink" Id="rId29" Target="https://www.reddit.com/r/ProductManagement/comments/1vbso6g/comment/p0xm59r/" TargetMode="External" /><Relationship Type="http://schemas.openxmlformats.org/officeDocument/2006/relationships/hyperlink" Id="rId30" Target="https://www.reddit.com/r/ProductManagement/comments/1vc0r45/comment/p0xr1ue/" TargetMode="External" /><Relationship Type="http://schemas.openxmlformats.org/officeDocument/2006/relationships/hyperlink" Id="rId31" Target="https://www.youtube.com/watch?v=G_Ek-NOpAuQ" TargetMode="External" /><Relationship Type="http://schemas.openxmlformats.org/officeDocument/2006/relationships/hyperlink" Id="rId26" Target="https://www.youtube.com/watch?v=cO1f2wOxSH4" TargetMode="External" /><Relationship Type="http://schemas.openxmlformats.org/officeDocument/2006/relationships/hyperlink" Id="rId25" Target="https://x.com/paulg/status/2083289602127716384" TargetMode="External" /><Relationship Type="http://schemas.openxmlformats.org/officeDocument/2006/relationships/hyperlink" Id="rId24" Target="https://x.com/supabase/status/208328215517034089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From Agent Evals to Glass-Box Enterprise AI</dc:title>
  <dc:creator>PM Daily Digest</dc:creator>
  <cp:keywords/>
  <dcterms:created xsi:type="dcterms:W3CDTF">2026-08-01T21:35:09Z</dcterms:created>
  <dcterms:modified xsi:type="dcterms:W3CDTF">2026-08-01T21:35:09Z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2026-08-01</vt:lpwstr>
  </property>
</Properties>
</file>