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Frontier AI Access Tightens as Cancer Imaging and Coding Systems Advance</w:t>
      </w:r>
    </w:p>
    <w:p>
      <w:pPr>
        <w:pStyle w:val="Author"/>
      </w:pPr>
      <w:r>
        <w:t xml:space="preserve">AI News Digest</w:t>
      </w:r>
    </w:p>
    <w:p>
      <w:pPr>
        <w:pStyle w:val="Date"/>
      </w:pPr>
      <w:r>
        <w:t xml:space="preserve">2026-04-14</w:t>
      </w:r>
    </w:p>
    <w:bookmarkStart w:id="43" w:name="X7e054676b182b3647b5ec8c27eacab4640ffb50"/>
    <w:p>
      <w:pPr>
        <w:pStyle w:val="Heading1"/>
      </w:pPr>
      <w:r>
        <w:t xml:space="preserve">Frontier AI Access Tightens as Cancer Imaging and Coding Systems Advance</w:t>
      </w:r>
    </w:p>
    <w:p>
      <w:pPr>
        <w:pStyle w:val="FirstParagraph"/>
      </w:pPr>
      <w:r>
        <w:rPr>
          <w:iCs/>
          <w:i/>
        </w:rPr>
        <w:t xml:space="preserve">By AI News Digest • April 14, 2026</w:t>
      </w:r>
    </w:p>
    <w:p>
      <w:pPr>
        <w:pStyle w:val="BodyText"/>
      </w:pPr>
      <w:r>
        <w:t xml:space="preserve">Anthropic’s gated Mythos rollout and OpenAI’s upcoming Spud point to a new frontier pattern: more capable systems, narrower access. Microsoft posted a practical cancer-imaging result, coding benchmarks moved up, Perplexity showed sharp operating leverage, and policy scrutiny spread from AI services to data centers.</w:t>
      </w:r>
    </w:p>
    <w:bookmarkStart w:id="21" w:name="frontier-access-is-tightening"/>
    <w:p>
      <w:pPr>
        <w:pStyle w:val="Heading2"/>
      </w:pPr>
      <w:r>
        <w:t xml:space="preserve">Frontier access is tightening</w:t>
      </w:r>
    </w:p>
    <w:bookmarkStart w:id="20" w:name="Xa7b772cabf8c6032a1a0c44bb19ffe4f4498b3c"/>
    <w:p>
      <w:pPr>
        <w:pStyle w:val="Heading3"/>
      </w:pPr>
      <w:r>
        <w:t xml:space="preserve">Mythos stays gated, Spud is next, and governments are taking the claims seriously</w:t>
      </w:r>
    </w:p>
    <w:p>
      <w:pPr>
        <w:pStyle w:val="FirstParagraph"/>
      </w:pPr>
      <w:r>
        <w:t xml:space="preserve">Big Technology reports that Anthropic kept Mythos out of general release and instead opened Project Glasswing to roughly 50 partners after describing cybersecurity risks, while OpenAI President Greg Brockman described Spud as a massive new pre-train designed to understand instructions and context better and solve harder problems [1]. Big Technology frames this as a broader trend: the most capable models being offered to a small partner set rather than the public [1].</w:t>
      </w:r>
    </w:p>
    <w:p>
      <w:pPr>
        <w:pStyle w:val="BodyText"/>
      </w:pPr>
      <w:r>
        <w:rPr>
          <w:iCs/>
          <w:i/>
        </w:rPr>
        <w:t xml:space="preserve">Why it matters:</w:t>
      </w:r>
      <w:r>
        <w:t xml:space="preserve"> </w:t>
      </w:r>
      <w:r>
        <w:t xml:space="preserve">This is starting to look like a distribution shift, not just a product choice. Treasury and the Fed reportedly warned banks about Mythos-related risks, the IMF chief said time is not our friend, Anthropic said its run-rate revenue has surpassed $30 billion and announced a multi-gigawatt compute deal with Google and Broadcom, and the UK AI Security Institute said Claude Mythos Preview was the first model to complete its cyber range end-to-end [1, 2, 3]. Gary Marcus, commenting on the AISI evaluation, said Mythos appears to arm attackers more than earlier systems but may pose the most immediate risk to small, weakly defended targets, underscoring the need for quicker cybersecurity hardening [3].</w:t>
      </w:r>
    </w:p>
    <w:bookmarkEnd w:id="20"/>
    <w:bookmarkEnd w:id="21"/>
    <w:bookmarkStart w:id="25" w:name="research-moved-closer-to-deployment"/>
    <w:p>
      <w:pPr>
        <w:pStyle w:val="Heading2"/>
      </w:pPr>
      <w:r>
        <w:t xml:space="preserve">Research moved closer to deployment</w:t>
      </w:r>
    </w:p>
    <w:bookmarkStart w:id="23" w:name="X136e3d6c0fe4ca04540320fa6ea2e97ec6729ed"/>
    <w:p>
      <w:pPr>
        <w:pStyle w:val="Heading3"/>
      </w:pPr>
      <w:r>
        <w:t xml:space="preserve">Microsoft’s GigaTIME turns routine pathology slides into richer cancer imaging</w:t>
      </w:r>
    </w:p>
    <w:p>
      <w:pPr>
        <w:pStyle w:val="FirstParagraph"/>
      </w:pPr>
      <w:r>
        <w:t xml:space="preserve">Microsoft’s GigaTIME is designed to generate advanced imaging from standard tissue slides that hospitals already collect, surfacing immune-cell activity that matters for predicting response to immunotherapy without requiring the more expensive imaging normally used for that view [4]. The system was trained on 40 million cancer cells and applied to more than 14,000 patients across 51 hospitals and 24 cancer types, where it found 1,200+ links between immune-cell behavior and tumor growth; the findings held up on a separate 10,000-patient validation set, and the model has been open sourced [4].</w:t>
      </w:r>
    </w:p>
    <w:p>
      <w:pPr>
        <w:pStyle w:val="BodyText"/>
      </w:pPr>
      <w:r>
        <w:rPr>
          <w:iCs/>
          <w:i/>
        </w:rPr>
        <w:t xml:space="preserve">Why it matters:</w:t>
      </w:r>
      <w:r>
        <w:t xml:space="preserve"> </w:t>
      </w:r>
      <w:r>
        <w:t xml:space="preserve">This combines scale, independent validation, and a deployment path through existing hospital samples. The peer-reviewed</w:t>
      </w:r>
      <w:r>
        <w:t xml:space="preserve"> </w:t>
      </w:r>
      <w:hyperlink r:id="rId22">
        <w:r>
          <w:rPr>
            <w:rStyle w:val="Hyperlink"/>
          </w:rPr>
          <w:t xml:space="preserve">Cell paper</w:t>
        </w:r>
      </w:hyperlink>
      <w:r>
        <w:t xml:space="preserve"> </w:t>
      </w:r>
      <w:r>
        <w:t xml:space="preserve">is linked here [5].</w:t>
      </w:r>
    </w:p>
    <w:bookmarkEnd w:id="23"/>
    <w:bookmarkStart w:id="24" w:name="Xeff1bf3b92d38b4475d0cf2ca76b0576aa2e791"/>
    <w:p>
      <w:pPr>
        <w:pStyle w:val="Heading3"/>
      </w:pPr>
      <w:r>
        <w:t xml:space="preserve">MirrorCode shows stronger autonomous coding on real software tasks</w:t>
      </w:r>
    </w:p>
    <w:p>
      <w:pPr>
        <w:pStyle w:val="FirstParagraph"/>
      </w:pPr>
      <w:r>
        <w:t xml:space="preserve">Import AI highlights METR and Epoch’s MirrorCode benchmark, which asks models to reimplement complex command-line programs from execute-only access and visible tests, without source code [6]. One standout result: Claude Opus 4.6 reimplemented the roughly 16,000-line gotree bioinformatics toolkit with 40+ commands, a task estimated at 2–17 weeks for a human engineer, and performance kept improving as inference compute increased [6].</w:t>
      </w:r>
    </w:p>
    <w:p>
      <w:pPr>
        <w:pStyle w:val="BodyText"/>
      </w:pPr>
      <w:r>
        <w:rPr>
          <w:iCs/>
          <w:i/>
        </w:rPr>
        <w:t xml:space="preserve">Why it matters:</w:t>
      </w:r>
      <w:r>
        <w:t xml:space="preserve"> </w:t>
      </w:r>
      <w:r>
        <w:t xml:space="preserve">This is a cleaner signal than generic coding benchmarks because the task is concrete, bounded, and closer to real software maintenance. In parallel, Google DeepMind outlined six attack surfaces for AI agents—from content injection and semantic manipulation to multi-agent and human-overseer exploits—and recommended technical, ecosystem, legal, and benchmarking defenses [6].</w:t>
      </w:r>
    </w:p>
    <w:bookmarkEnd w:id="24"/>
    <w:bookmarkEnd w:id="25"/>
    <w:bookmarkStart w:id="28" w:name="Xfddba5b1224757ac5d5d70500332d18bc36d76d"/>
    <w:p>
      <w:pPr>
        <w:pStyle w:val="Heading2"/>
      </w:pPr>
      <w:r>
        <w:t xml:space="preserve">AI leverage is getting more visible inside companies</w:t>
      </w:r>
    </w:p>
    <w:bookmarkStart w:id="26" w:name="X899e70ffcf278b7f33df4ef4e6b972d99f8a87c"/>
    <w:p>
      <w:pPr>
        <w:pStyle w:val="Heading3"/>
      </w:pPr>
      <w:r>
        <w:t xml:space="preserve">Perplexity says it reached $500M revenue with only 34% team growth</w:t>
      </w:r>
    </w:p>
    <w:p>
      <w:pPr>
        <w:pStyle w:val="FirstParagraph"/>
      </w:pPr>
      <w:r>
        <w:t xml:space="preserve">Perplexity CEO Arav Srinivas said the company grew revenue 5x from $100M to $500M with only 34% team growth and is targeting another 2x revenue growth in 2026 with the same small team [7]. He also said the company’s pivot to Computer is full circle, tracing back to Perplexity’s early internal use of AI with four people and no revenue, and that the tool is now powering founders, small businesses, and startups [7].</w:t>
      </w:r>
    </w:p>
    <w:p>
      <w:pPr>
        <w:pStyle w:val="BodyText"/>
      </w:pPr>
      <w:r>
        <w:rPr>
          <w:iCs/>
          <w:i/>
        </w:rPr>
        <w:t xml:space="preserve">Why it matters:</w:t>
      </w:r>
      <w:r>
        <w:t xml:space="preserve"> </w:t>
      </w:r>
      <w:r>
        <w:t xml:space="preserve">It adds a hard revenue-and-headcount datapoint to a broader argument now being made across the industry: small teams can do more with AI [7, 8, 9].</w:t>
      </w:r>
    </w:p>
    <w:bookmarkEnd w:id="26"/>
    <w:bookmarkStart w:id="27" w:name="X04adcb427301c1b7be04d7038eb4e81dd195adb"/>
    <w:p>
      <w:pPr>
        <w:pStyle w:val="Heading3"/>
      </w:pPr>
      <w:r>
        <w:t xml:space="preserve">The next bottleneck is no longer just coding — it is deciding, budgeting, and reviewing</w:t>
      </w:r>
    </w:p>
    <w:p>
      <w:pPr>
        <w:pStyle w:val="FirstParagraph"/>
      </w:pPr>
      <w:r>
        <w:t xml:space="preserve">Greg Brockman says AI has already created a renaissance in software engineering and is starting to extend that shift to other computer-based work, with ChatGPT and Codex reaching nearly a billion weekly users and growing token usage [8]. Andrew Ng makes a similar point from the workflow side: as coding gets easier, more people will build software, the key bottleneck becomes deciding what to build, and software job-loss narratives are being oversimplified [9].</w:t>
      </w:r>
    </w:p>
    <w:p>
      <w:pPr>
        <w:pStyle w:val="BodyText"/>
      </w:pPr>
      <w:r>
        <w:rPr>
          <w:iCs/>
          <w:i/>
        </w:rPr>
        <w:t xml:space="preserve">Why it matters:</w:t>
      </w:r>
      <w:r>
        <w:t xml:space="preserve"> </w:t>
      </w:r>
      <w:r>
        <w:t xml:space="preserve">The next management problem may be operational rather than technical. Latent Space argues that usage-based pricing will force managers to handle per-person AI budgets, revisit build-vs-buy decisions, and tighten review practices as AI-generated code volume rises faster than humans can comfortably inspect it [10].</w:t>
      </w:r>
    </w:p>
    <w:bookmarkEnd w:id="27"/>
    <w:bookmarkEnd w:id="28"/>
    <w:bookmarkStart w:id="42" w:name="Xc7569eed7646c336dabb34db5bd100af663516c"/>
    <w:p>
      <w:pPr>
        <w:pStyle w:val="Heading2"/>
      </w:pPr>
      <w:r>
        <w:t xml:space="preserve">Policy attention is widening beyond the model itself</w:t>
      </w:r>
    </w:p>
    <w:bookmarkStart w:id="29" w:name="Xdf25ae2242f536890b6abb5b9a6ddcac8a8409f"/>
    <w:p>
      <w:pPr>
        <w:pStyle w:val="Heading3"/>
      </w:pPr>
      <w:r>
        <w:t xml:space="preserve">China narrows one set of rules while other regulators widen scrutiny</w:t>
      </w:r>
    </w:p>
    <w:p>
      <w:pPr>
        <w:pStyle w:val="FirstParagraph"/>
      </w:pPr>
      <w:r>
        <w:t xml:space="preserve">China issued interim rules on anthropomorphic AI interaction services with a narrower scope than the draft, focusing on sustained emotional interaction services, while MIIT is advancing standardization work around the Model Context Protocol [11]. ChinAI also points to ByteDance’s Doubao AI phone as a live regulatory test case, since its OS-level agent has triggered debate among Chinese legal scholars and technologists about data security and privacy [11].</w:t>
      </w:r>
    </w:p>
    <w:p>
      <w:pPr>
        <w:pStyle w:val="BodyText"/>
      </w:pPr>
      <w:r>
        <w:rPr>
          <w:iCs/>
          <w:i/>
        </w:rPr>
        <w:t xml:space="preserve">Why it matters:</w:t>
      </w:r>
      <w:r>
        <w:t xml:space="preserve"> </w:t>
      </w:r>
      <w:r>
        <w:t xml:space="preserve">Elsewhere, the EU is exploring whether ChatGPT should be treated as a large online search engine under the Digital Services Act, and Maine lawmakers passed a moratorium on data centers larger than 20 megawatts through November 2027 as other states consider similar pauses and governors push for data centers to bear more power costs [1]. The policy surface is expanding from model behavior to devices, distribution, and power infrastructure [11, 1].</w:t>
      </w:r>
    </w:p>
    <w:p>
      <w:r>
        <w:pict>
          <v:rect style="width:0;height:1.5pt" o:hralign="center" o:hrstd="t" o:hr="t"/>
        </w:pict>
      </w:r>
    </w:p>
    <w:bookmarkEnd w:id="29"/>
    <w:bookmarkStart w:id="41" w:name="sources"/>
    <w:p>
      <w:pPr>
        <w:pStyle w:val="Heading3"/>
      </w:pPr>
      <w:r>
        <w:t xml:space="preserve">Sources</w:t>
      </w:r>
    </w:p>
    <w:p>
      <w:pPr>
        <w:numPr>
          <w:ilvl w:val="0"/>
          <w:numId w:val="1001"/>
        </w:numPr>
        <w:pStyle w:val="Compact"/>
      </w:pPr>
      <w:hyperlink r:id="rId30">
        <w:r>
          <w:rPr>
            <w:rStyle w:val="Hyperlink"/>
          </w:rPr>
          <w:t xml:space="preserve">Anthropic’s Mythos is Here. Is OpenAI’s Spud Next?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@AISecurityInst</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@rowancheung</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@rowancheung</w:t>
        </w:r>
      </w:hyperlink>
    </w:p>
    <w:p>
      <w:pPr>
        <w:numPr>
          <w:ilvl w:val="0"/>
          <w:numId w:val="1001"/>
        </w:numPr>
        <w:pStyle w:val="Compact"/>
      </w:pPr>
      <w:hyperlink r:id="rId35">
        <w:r>
          <w:rPr>
            <w:rStyle w:val="Hyperlink"/>
          </w:rPr>
          <w:t xml:space="preserve">Import AI 453: Breaking AI agents; MirrorCode; and ten views on gradual disempowerment</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@AndrewYNg</w:t>
        </w:r>
      </w:hyperlink>
    </w:p>
    <w:p>
      <w:pPr>
        <w:numPr>
          <w:ilvl w:val="0"/>
          <w:numId w:val="1001"/>
        </w:numPr>
        <w:pStyle w:val="Compact"/>
      </w:pPr>
      <w:hyperlink r:id="rId39">
        <w:r>
          <w:rPr>
            <w:rStyle w:val="Hyperlink"/>
          </w:rPr>
          <w:t xml:space="preserve">⚡️ The best engineers don’t write the most code. They delete the most code. — Stay Sassy</w:t>
        </w:r>
      </w:hyperlink>
    </w:p>
    <w:p>
      <w:pPr>
        <w:numPr>
          <w:ilvl w:val="0"/>
          <w:numId w:val="1001"/>
        </w:numPr>
        <w:pStyle w:val="Compact"/>
      </w:pPr>
      <w:hyperlink r:id="rId40">
        <w:r>
          <w:rPr>
            <w:rStyle w:val="Hyperlink"/>
          </w:rPr>
          <w:t xml:space="preserve">ChinAI #354: Industry Gossip - overdue training fee payments and overhyped embodied AI</w:t>
        </w:r>
      </w:hyperlink>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chinai.substack.com/p/chinai-354" TargetMode="External" /><Relationship Type="http://schemas.openxmlformats.org/officeDocument/2006/relationships/hyperlink" Id="rId35" Target="https://importai.substack.com/p/import-ai-453-breaking-ai-agents" TargetMode="External" /><Relationship Type="http://schemas.openxmlformats.org/officeDocument/2006/relationships/hyperlink" Id="rId30" Target="https://www.bigtechnology.com/p/anthropics-mythos-is-here-is-openais" TargetMode="External" /><Relationship Type="http://schemas.openxmlformats.org/officeDocument/2006/relationships/hyperlink" Id="rId22" Target="https://www.cell.com/cell/fulltext/S0092-8674%2825%2901312-1" TargetMode="External" /><Relationship Type="http://schemas.openxmlformats.org/officeDocument/2006/relationships/hyperlink" Id="rId39" Target="https://www.youtube.com/watch?v=5KnCKadxSPY" TargetMode="External" /><Relationship Type="http://schemas.openxmlformats.org/officeDocument/2006/relationships/hyperlink" Id="rId31" Target="https://x.com/AISecurityInst/status/2043683577594794183" TargetMode="External" /><Relationship Type="http://schemas.openxmlformats.org/officeDocument/2006/relationships/hyperlink" Id="rId38" Target="https://x.com/AndrewYNg/status/2043742105852621052" TargetMode="External" /><Relationship Type="http://schemas.openxmlformats.org/officeDocument/2006/relationships/hyperlink" Id="rId36" Target="https://x.com/AravSrinivas/status/2043726497870127559" TargetMode="External" /><Relationship Type="http://schemas.openxmlformats.org/officeDocument/2006/relationships/hyperlink" Id="rId32" Target="https://x.com/GaryMarcus/status/2043754005718020552" TargetMode="External" /><Relationship Type="http://schemas.openxmlformats.org/officeDocument/2006/relationships/hyperlink" Id="rId37" Target="https://x.com/gdb/status/2043831031468568734" TargetMode="External" /><Relationship Type="http://schemas.openxmlformats.org/officeDocument/2006/relationships/hyperlink" Id="rId33" Target="https://x.com/rowancheung/status/2043709190515114008" TargetMode="External" /><Relationship Type="http://schemas.openxmlformats.org/officeDocument/2006/relationships/hyperlink" Id="rId34" Target="https://x.com/rowancheung/status/2043709202330440068" TargetMode="External" /></Relationships>
</file>

<file path=word/_rels/footnotes.xml.rels><?xml version="1.0" encoding="UTF-8"?><Relationships xmlns="http://schemas.openxmlformats.org/package/2006/relationships"><Relationship Type="http://schemas.openxmlformats.org/officeDocument/2006/relationships/hyperlink" Id="rId40" Target="https://chinai.substack.com/p/chinai-354" TargetMode="External" /><Relationship Type="http://schemas.openxmlformats.org/officeDocument/2006/relationships/hyperlink" Id="rId35" Target="https://importai.substack.com/p/import-ai-453-breaking-ai-agents" TargetMode="External" /><Relationship Type="http://schemas.openxmlformats.org/officeDocument/2006/relationships/hyperlink" Id="rId30" Target="https://www.bigtechnology.com/p/anthropics-mythos-is-here-is-openais" TargetMode="External" /><Relationship Type="http://schemas.openxmlformats.org/officeDocument/2006/relationships/hyperlink" Id="rId22" Target="https://www.cell.com/cell/fulltext/S0092-8674%2825%2901312-1" TargetMode="External" /><Relationship Type="http://schemas.openxmlformats.org/officeDocument/2006/relationships/hyperlink" Id="rId39" Target="https://www.youtube.com/watch?v=5KnCKadxSPY" TargetMode="External" /><Relationship Type="http://schemas.openxmlformats.org/officeDocument/2006/relationships/hyperlink" Id="rId31" Target="https://x.com/AISecurityInst/status/2043683577594794183" TargetMode="External" /><Relationship Type="http://schemas.openxmlformats.org/officeDocument/2006/relationships/hyperlink" Id="rId38" Target="https://x.com/AndrewYNg/status/2043742105852621052" TargetMode="External" /><Relationship Type="http://schemas.openxmlformats.org/officeDocument/2006/relationships/hyperlink" Id="rId36" Target="https://x.com/AravSrinivas/status/2043726497870127559" TargetMode="External" /><Relationship Type="http://schemas.openxmlformats.org/officeDocument/2006/relationships/hyperlink" Id="rId32" Target="https://x.com/GaryMarcus/status/2043754005718020552" TargetMode="External" /><Relationship Type="http://schemas.openxmlformats.org/officeDocument/2006/relationships/hyperlink" Id="rId37" Target="https://x.com/gdb/status/2043831031468568734" TargetMode="External" /><Relationship Type="http://schemas.openxmlformats.org/officeDocument/2006/relationships/hyperlink" Id="rId33" Target="https://x.com/rowancheung/status/2043709190515114008" TargetMode="External" /><Relationship Type="http://schemas.openxmlformats.org/officeDocument/2006/relationships/hyperlink" Id="rId34" Target="https://x.com/rowancheung/status/20437092023304400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 AI Access Tightens as Cancer Imaging and Coding Systems Advance</dc:title>
  <dc:creator>AI News Digest</dc:creator>
  <cp:keywords/>
  <dcterms:created xsi:type="dcterms:W3CDTF">2026-04-14T22:08:29Z</dcterms:created>
  <dcterms:modified xsi:type="dcterms:W3CDTF">2026-04-14T22:08:29Z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2026-04-14</vt:lpwstr>
  </property>
</Properties>
</file>