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Frontier AI Governance Hardens as Nvidia Releases a 550B Open Model</w:t>
      </w:r>
    </w:p>
    <w:p>
      <w:pPr>
        <w:pStyle w:val="Author"/>
      </w:pPr>
      <w:r>
        <w:t xml:space="preserve">AI News Digest</w:t>
      </w:r>
    </w:p>
    <w:p>
      <w:pPr>
        <w:pStyle w:val="Date"/>
      </w:pPr>
      <w:r>
        <w:t xml:space="preserve">2026-06-15</w:t>
      </w:r>
    </w:p>
    <w:bookmarkStart w:id="41" w:name="X8a43fa4f78e576c0d3c56d19d436a896db9d9db"/>
    <w:p>
      <w:pPr>
        <w:pStyle w:val="Heading1"/>
      </w:pPr>
      <w:r>
        <w:t xml:space="preserve">Frontier AI Governance Hardens as Nvidia Releases a 550B Open Model</w:t>
      </w:r>
    </w:p>
    <w:p>
      <w:pPr>
        <w:pStyle w:val="FirstParagraph"/>
      </w:pPr>
      <w:r>
        <w:rPr>
          <w:iCs/>
          <w:i/>
        </w:rPr>
        <w:t xml:space="preserve">By AI News Digest • June 15, 2026</w:t>
      </w:r>
    </w:p>
    <w:p>
      <w:pPr>
        <w:pStyle w:val="BodyText"/>
      </w:pPr>
      <w:r>
        <w:t xml:space="preserve">The Anthropic shutdown is widening into a debate over how frontier AI will be governed in the U.S. Today’s other big signals: Nvidia’s open 550B model, a study challenging agent</w:t>
      </w:r>
      <w:r>
        <w:t xml:space="preserve"> </w:t>
      </w:r>
      <w:r>
        <w:t xml:space="preserve">“</w:t>
      </w:r>
      <w:r>
        <w:t xml:space="preserve">learning</w:t>
      </w:r>
      <w:r>
        <w:t xml:space="preserve">”</w:t>
      </w:r>
      <w:r>
        <w:t xml:space="preserve"> </w:t>
      </w:r>
      <w:r>
        <w:t xml:space="preserve">claims, and clearer signs that AI competition is moving toward loops, ecosystems, and cost discipline.</w:t>
      </w:r>
    </w:p>
    <w:bookmarkStart w:id="20" w:name="X744f3cc270f5ea841e5ec2cb0cf700181f9a7f2"/>
    <w:p>
      <w:pPr>
        <w:pStyle w:val="Heading2"/>
      </w:pPr>
      <w:r>
        <w:t xml:space="preserve">Frontier AI governance is starting to look more like licensing by exception</w:t>
      </w:r>
    </w:p>
    <w:p>
      <w:pPr>
        <w:pStyle w:val="FirstParagraph"/>
      </w:pPr>
      <w:r>
        <w:t xml:space="preserve">Interconnects reports that the U.S. forced Anthropic to suspend Claude 5 Mythos/Fable access for foreign nationals and users abroad, and that Amazon tipped off the White House to the risk [1]. The bigger shift is how the episode is now being interpreted: as the start of an</w:t>
      </w:r>
      <w:r>
        <w:t xml:space="preserve"> </w:t>
      </w:r>
      <w:r>
        <w:t xml:space="preserve">“</w:t>
      </w:r>
      <w:r>
        <w:t xml:space="preserve">AGI era of AI governance</w:t>
      </w:r>
      <w:r>
        <w:t xml:space="preserve">”</w:t>
      </w:r>
      <w:r>
        <w:t xml:space="preserve"> </w:t>
      </w:r>
      <w:r>
        <w:t xml:space="preserve">in which frontier-model access can be gated quickly, with limited process and limited transparency around how those decisions are made [1, 2].</w:t>
      </w:r>
    </w:p>
    <w:p>
      <w:pPr>
        <w:pStyle w:val="BodyText"/>
      </w:pPr>
      <w:r>
        <w:rPr>
          <w:iCs/>
          <w:i/>
        </w:rPr>
        <w:t xml:space="preserve">Why it matters:</w:t>
      </w:r>
      <w:r>
        <w:t xml:space="preserve"> </w:t>
      </w:r>
      <w:r>
        <w:t xml:space="preserve">The story has moved beyond one shutdown to the broader rules of the road for frontier AI in the U.S. Rep. Ro Khanna called for an independent AI safety agency to improve public confidence, while analysts warned that similar aggressive actions could eventually reach open models as stronger systems arrive [3, 1, 4].</w:t>
      </w:r>
    </w:p>
    <w:p>
      <w:pPr>
        <w:pStyle w:val="BlockText"/>
      </w:pPr>
      <w:r>
        <w:t xml:space="preserve">“</w:t>
      </w:r>
      <w:r>
        <w:t xml:space="preserve">Make no mistake: post-Mythos, the United States has a licensing regime for AI. It’s just informal, with no consistent rules or firm boundaries on state power or public transparency.</w:t>
      </w:r>
      <w:r>
        <w:t xml:space="preserve">”</w:t>
      </w:r>
      <w:r>
        <w:t xml:space="preserve"> </w:t>
      </w:r>
      <w:r>
        <w:t xml:space="preserve">[2]</w:t>
      </w:r>
    </w:p>
    <w:bookmarkEnd w:id="20"/>
    <w:bookmarkStart w:id="21" w:name="X81dd1691e7ca989ea798620c545329524935b9d"/>
    <w:p>
      <w:pPr>
        <w:pStyle w:val="Heading2"/>
      </w:pPr>
      <w:r>
        <w:t xml:space="preserve">Nvidia pushes openness further with Neotron 3 Ultra</w:t>
      </w:r>
    </w:p>
    <w:p>
      <w:pPr>
        <w:pStyle w:val="FirstParagraph"/>
      </w:pPr>
      <w:r>
        <w:t xml:space="preserve">Nvidia released Neotron 3 Ultra, a 550B-parameter model with open weights, an open research paper, and redistributable training data and recipes for the releasable portions [5]. The model uses mixture-of-experts with about 10% of parameters active per token, plus Mamba layers, NVFP4 low-precision math, and multi-head token drafting; it also offers a 1 million-token context window and an open MDW license that permits derivative works and commercial use [5].</w:t>
      </w:r>
    </w:p>
    <w:p>
      <w:pPr>
        <w:pStyle w:val="BodyText"/>
      </w:pPr>
      <w:r>
        <w:rPr>
          <w:iCs/>
          <w:i/>
        </w:rPr>
        <w:t xml:space="preserve">Why it matters:</w:t>
      </w:r>
      <w:r>
        <w:t xml:space="preserve"> </w:t>
      </w:r>
      <w:r>
        <w:t xml:space="preserve">This is a meaningful openness signal from Nvidia, not just another benchmark release. In hands-on use described by Two Minute Papers, the model looked strong for terminal work, quick experiments, and file organization, but less convincing for hard coding tasks, and it remains text-only [5].</w:t>
      </w:r>
    </w:p>
    <w:bookmarkEnd w:id="21"/>
    <w:bookmarkStart w:id="22" w:name="Xc443282e9d70c516243a69a07422410632e3241"/>
    <w:p>
      <w:pPr>
        <w:pStyle w:val="Heading2"/>
      </w:pPr>
      <w:r>
        <w:t xml:space="preserve">A new agent-memory study questions whether LLMs learn abstract lessons</w:t>
      </w:r>
    </w:p>
    <w:p>
      <w:pPr>
        <w:pStyle w:val="FirstParagraph"/>
      </w:pPr>
      <w:r>
        <w:t xml:space="preserve">The study</w:t>
      </w:r>
      <w:r>
        <w:t xml:space="preserve"> </w:t>
      </w:r>
      <w:r>
        <w:t xml:space="preserve">“</w:t>
      </w:r>
      <w:r>
        <w:t xml:space="preserve">LLM Agents Are Not Always Faithful Self-Evolvers</w:t>
      </w:r>
      <w:r>
        <w:t xml:space="preserve">”</w:t>
      </w:r>
      <w:r>
        <w:t xml:space="preserve"> </w:t>
      </w:r>
      <w:r>
        <w:t xml:space="preserve">tested two kinds of stored memory: raw step-by-step histories and condensed summary rules. When researchers corrupted the histories, performance collapsed; when they corrupted the summary rules, performance did not drop, suggesting the agents were relying on past traces rather than abstract lessons [6].</w:t>
      </w:r>
    </w:p>
    <w:p>
      <w:pPr>
        <w:pStyle w:val="BodyText"/>
      </w:pPr>
      <w:r>
        <w:rPr>
          <w:iCs/>
          <w:i/>
        </w:rPr>
        <w:t xml:space="preserve">Why it matters:</w:t>
      </w:r>
      <w:r>
        <w:t xml:space="preserve"> </w:t>
      </w:r>
      <w:r>
        <w:t xml:space="preserve">For teams building self-improving agents, this is a concrete warning that memory summaries may not translate into transferable reasoning on their own [6].</w:t>
      </w:r>
    </w:p>
    <w:p>
      <w:pPr>
        <w:pStyle w:val="BlockText"/>
      </w:pPr>
      <w:r>
        <w:t xml:space="preserve">“</w:t>
      </w:r>
      <w:r>
        <w:t xml:space="preserve">If an AI cannot apply an abstract lesson to a new situation, it is not truly reasoning or learning.</w:t>
      </w:r>
      <w:r>
        <w:t xml:space="preserve">”</w:t>
      </w:r>
      <w:r>
        <w:t xml:space="preserve"> </w:t>
      </w:r>
      <w:r>
        <w:t xml:space="preserve">[7]</w:t>
      </w:r>
    </w:p>
    <w:bookmarkEnd w:id="22"/>
    <w:bookmarkStart w:id="23" w:name="Xec6f61b4caed96ee033b9ea31c06b5de398d825"/>
    <w:p>
      <w:pPr>
        <w:pStyle w:val="Heading2"/>
      </w:pPr>
      <w:r>
        <w:t xml:space="preserve">The durable moat argument is shifting from models to loops and domain expertise</w:t>
      </w:r>
    </w:p>
    <w:p>
      <w:pPr>
        <w:pStyle w:val="FirstParagraph"/>
      </w:pPr>
      <w:r>
        <w:t xml:space="preserve">Martin Casado argued that LLMs are hard to moat because they are</w:t>
      </w:r>
      <w:r>
        <w:t xml:space="preserve"> </w:t>
      </w:r>
      <w:r>
        <w:t xml:space="preserve">“</w:t>
      </w:r>
      <w:r>
        <w:t xml:space="preserve">stateless compute</w:t>
      </w:r>
      <w:r>
        <w:t xml:space="preserve">”</w:t>
      </w:r>
      <w:r>
        <w:t xml:space="preserve"> </w:t>
      </w:r>
      <w:r>
        <w:t xml:space="preserve">that customers can switch away from quickly when a better or cheaper option appears [8]. In parallel, Satya Nadella said the real opportunity is not choosing the best model but building a learning loop where human and token capital compound, and François Chollet argued that companies that already own</w:t>
      </w:r>
      <w:r>
        <w:t xml:space="preserve"> </w:t>
      </w:r>
      <w:r>
        <w:t xml:space="preserve">“</w:t>
      </w:r>
      <w:r>
        <w:t xml:space="preserve">software for X</w:t>
      </w:r>
      <w:r>
        <w:t xml:space="preserve">”</w:t>
      </w:r>
      <w:r>
        <w:t xml:space="preserve"> </w:t>
      </w:r>
      <w:r>
        <w:t xml:space="preserve">are well positioned to own</w:t>
      </w:r>
      <w:r>
        <w:t xml:space="preserve"> </w:t>
      </w:r>
      <w:r>
        <w:t xml:space="preserve">“</w:t>
      </w:r>
      <w:r>
        <w:t xml:space="preserve">AI for X</w:t>
      </w:r>
      <w:r>
        <w:t xml:space="preserve">”</w:t>
      </w:r>
      <w:r>
        <w:t xml:space="preserve"> </w:t>
      </w:r>
      <w:r>
        <w:t xml:space="preserve">because they have the domain expertise and human capital to create value [9, 10].</w:t>
      </w:r>
    </w:p>
    <w:p>
      <w:pPr>
        <w:pStyle w:val="BodyText"/>
      </w:pPr>
      <w:r>
        <w:rPr>
          <w:iCs/>
          <w:i/>
        </w:rPr>
        <w:t xml:space="preserve">Why it matters:</w:t>
      </w:r>
      <w:r>
        <w:t xml:space="preserve"> </w:t>
      </w:r>
      <w:r>
        <w:t xml:space="preserve">Across investors, operators, and researchers, the common theme is that advantage may sit above the model layer—in workflows, institutional knowledge, and ecosystem control. That also fits Microsoft’s stated bet on an ecosystem approach to AI [11, 12].</w:t>
      </w:r>
    </w:p>
    <w:bookmarkEnd w:id="23"/>
    <w:bookmarkStart w:id="40" w:name="Xcec04b9e592cea25eb21606c81b633436709773"/>
    <w:p>
      <w:pPr>
        <w:pStyle w:val="Heading2"/>
      </w:pPr>
      <w:r>
        <w:t xml:space="preserve">Cost discipline is starting to show up in enterprise AI usage</w:t>
      </w:r>
    </w:p>
    <w:p>
      <w:pPr>
        <w:pStyle w:val="FirstParagraph"/>
      </w:pPr>
      <w:r>
        <w:t xml:space="preserve">The Economist says companies are scrambling to curtail soaring AI costs, and Meta is now capping employee token usage while steering staff toward in-house tools after earlier encouraging</w:t>
      </w:r>
      <w:r>
        <w:t xml:space="preserve"> </w:t>
      </w:r>
      <w:r>
        <w:t xml:space="preserve">“</w:t>
      </w:r>
      <w:r>
        <w:t xml:space="preserve">AI-driven impact</w:t>
      </w:r>
      <w:r>
        <w:t xml:space="preserve">”</w:t>
      </w:r>
      <w:r>
        <w:t xml:space="preserve"> </w:t>
      </w:r>
      <w:r>
        <w:t xml:space="preserve">[13, 14]. Gary Marcus’s framing is blunt—</w:t>
      </w:r>
      <w:r>
        <w:t xml:space="preserve">“</w:t>
      </w:r>
      <w:r>
        <w:t xml:space="preserve">tokenmaxxing has given way to tokenminimizing</w:t>
      </w:r>
      <w:r>
        <w:t xml:space="preserve">”</w:t>
      </w:r>
      <w:r>
        <w:t xml:space="preserve">—but the underlying signal is concrete: buyers are paying closer attention to usage and efficiency [15].</w:t>
      </w:r>
    </w:p>
    <w:p>
      <w:pPr>
        <w:pStyle w:val="BodyText"/>
      </w:pPr>
      <w:r>
        <w:rPr>
          <w:iCs/>
          <w:i/>
        </w:rPr>
        <w:t xml:space="preserve">Why it matters:</w:t>
      </w:r>
      <w:r>
        <w:t xml:space="preserve"> </w:t>
      </w:r>
      <w:r>
        <w:t xml:space="preserve">These are early signs that enterprise AI usage is moving from unconstrained experimentation toward tighter cost management [13, 14, 15].</w:t>
      </w:r>
    </w:p>
    <w:p>
      <w:r>
        <w:pict>
          <v:rect style="width:0;height:1.5pt" o:hralign="center" o:hrstd="t" o:hr="t"/>
        </w:pict>
      </w:r>
    </w:p>
    <w:bookmarkStart w:id="39" w:name="sources"/>
    <w:p>
      <w:pPr>
        <w:pStyle w:val="Heading3"/>
      </w:pPr>
      <w:r>
        <w:t xml:space="preserve">Sources</w:t>
      </w:r>
    </w:p>
    <w:p>
      <w:pPr>
        <w:numPr>
          <w:ilvl w:val="0"/>
          <w:numId w:val="1001"/>
        </w:numPr>
        <w:pStyle w:val="Compact"/>
      </w:pPr>
      <w:hyperlink r:id="rId24">
        <w:r>
          <w:rPr>
            <w:rStyle w:val="Hyperlink"/>
          </w:rPr>
          <w:t xml:space="preserve">Welcome to the AGI era of AI governance</w:t>
        </w:r>
      </w:hyperlink>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@deanwball</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@RoKhanna</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28">
        <w:r>
          <w:rPr>
            <w:rStyle w:val="Hyperlink"/>
          </w:rPr>
          <w:t xml:space="preserve">NVIDIA’s New Free Al - A Gift To All Of Us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@thdxr</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@saranormous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@TheEconomist</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@theinformation</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@GaryMarcus</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interconnects.ai/p/welcome-to-the-agi-era-of-ai-governance" TargetMode="External" /><Relationship Type="http://schemas.openxmlformats.org/officeDocument/2006/relationships/hyperlink" Id="rId28" Target="https://www.youtube.com/watch?v=zJvN8PDX1is" TargetMode="External" /><Relationship Type="http://schemas.openxmlformats.org/officeDocument/2006/relationships/hyperlink" Id="rId30" Target="https://x.com/GaryMarcus/status/2066177872637878369" TargetMode="External" /><Relationship Type="http://schemas.openxmlformats.org/officeDocument/2006/relationships/hyperlink" Id="rId38" Target="https://x.com/GaryMarcus/status/2066380344530706873" TargetMode="External" /><Relationship Type="http://schemas.openxmlformats.org/officeDocument/2006/relationships/hyperlink" Id="rId26" Target="https://x.com/RoKhanna/status/2066152152704352416" TargetMode="External" /><Relationship Type="http://schemas.openxmlformats.org/officeDocument/2006/relationships/hyperlink" Id="rId36" Target="https://x.com/TheEconomist/status/2066225430948958363" TargetMode="External" /><Relationship Type="http://schemas.openxmlformats.org/officeDocument/2006/relationships/hyperlink" Id="rId25" Target="https://x.com/deanwball/status/2066151868556865860" TargetMode="External" /><Relationship Type="http://schemas.openxmlformats.org/officeDocument/2006/relationships/hyperlink" Id="rId33" Target="https://x.com/fchollet/status/2066233044235669765" TargetMode="External" /><Relationship Type="http://schemas.openxmlformats.org/officeDocument/2006/relationships/hyperlink" Id="rId27" Target="https://x.com/natolambert/status/2066217946570215752" TargetMode="External" /><Relationship Type="http://schemas.openxmlformats.org/officeDocument/2006/relationships/hyperlink" Id="rId29" Target="https://x.com/rohanpaul_ai/status/2066166267950858561" TargetMode="External" /><Relationship Type="http://schemas.openxmlformats.org/officeDocument/2006/relationships/hyperlink" Id="rId34" Target="https://x.com/saranormous/status/2066215953868931329" TargetMode="External" /><Relationship Type="http://schemas.openxmlformats.org/officeDocument/2006/relationships/hyperlink" Id="rId35" Target="https://x.com/swyx/status/2065307558198567206" TargetMode="External" /><Relationship Type="http://schemas.openxmlformats.org/officeDocument/2006/relationships/hyperlink" Id="rId32" Target="https://x.com/swyx/status/2066235625695850526" TargetMode="External" /><Relationship Type="http://schemas.openxmlformats.org/officeDocument/2006/relationships/hyperlink" Id="rId31" Target="https://x.com/thdxr/status/2065911438170857628" TargetMode="External" /><Relationship Type="http://schemas.openxmlformats.org/officeDocument/2006/relationships/hyperlink" Id="rId37" Target="https://x.com/theinformation/status/2066241778022240387" TargetMode="External" /></Relationships>
</file>

<file path=word/_rels/footnotes.xml.rels><?xml version="1.0" encoding="UTF-8"?><Relationships xmlns="http://schemas.openxmlformats.org/package/2006/relationships"><Relationship Type="http://schemas.openxmlformats.org/officeDocument/2006/relationships/hyperlink" Id="rId24" Target="https://www.interconnects.ai/p/welcome-to-the-agi-era-of-ai-governance" TargetMode="External" /><Relationship Type="http://schemas.openxmlformats.org/officeDocument/2006/relationships/hyperlink" Id="rId28" Target="https://www.youtube.com/watch?v=zJvN8PDX1is" TargetMode="External" /><Relationship Type="http://schemas.openxmlformats.org/officeDocument/2006/relationships/hyperlink" Id="rId30" Target="https://x.com/GaryMarcus/status/2066177872637878369" TargetMode="External" /><Relationship Type="http://schemas.openxmlformats.org/officeDocument/2006/relationships/hyperlink" Id="rId38" Target="https://x.com/GaryMarcus/status/2066380344530706873" TargetMode="External" /><Relationship Type="http://schemas.openxmlformats.org/officeDocument/2006/relationships/hyperlink" Id="rId26" Target="https://x.com/RoKhanna/status/2066152152704352416" TargetMode="External" /><Relationship Type="http://schemas.openxmlformats.org/officeDocument/2006/relationships/hyperlink" Id="rId36" Target="https://x.com/TheEconomist/status/2066225430948958363" TargetMode="External" /><Relationship Type="http://schemas.openxmlformats.org/officeDocument/2006/relationships/hyperlink" Id="rId25" Target="https://x.com/deanwball/status/2066151868556865860" TargetMode="External" /><Relationship Type="http://schemas.openxmlformats.org/officeDocument/2006/relationships/hyperlink" Id="rId33" Target="https://x.com/fchollet/status/2066233044235669765" TargetMode="External" /><Relationship Type="http://schemas.openxmlformats.org/officeDocument/2006/relationships/hyperlink" Id="rId27" Target="https://x.com/natolambert/status/2066217946570215752" TargetMode="External" /><Relationship Type="http://schemas.openxmlformats.org/officeDocument/2006/relationships/hyperlink" Id="rId29" Target="https://x.com/rohanpaul_ai/status/2066166267950858561" TargetMode="External" /><Relationship Type="http://schemas.openxmlformats.org/officeDocument/2006/relationships/hyperlink" Id="rId34" Target="https://x.com/saranormous/status/2066215953868931329" TargetMode="External" /><Relationship Type="http://schemas.openxmlformats.org/officeDocument/2006/relationships/hyperlink" Id="rId35" Target="https://x.com/swyx/status/2065307558198567206" TargetMode="External" /><Relationship Type="http://schemas.openxmlformats.org/officeDocument/2006/relationships/hyperlink" Id="rId32" Target="https://x.com/swyx/status/2066235625695850526" TargetMode="External" /><Relationship Type="http://schemas.openxmlformats.org/officeDocument/2006/relationships/hyperlink" Id="rId31" Target="https://x.com/thdxr/status/2065911438170857628" TargetMode="External" /><Relationship Type="http://schemas.openxmlformats.org/officeDocument/2006/relationships/hyperlink" Id="rId37" Target="https://x.com/theinformation/status/20662417780222403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Frontier AI Governance Hardens as Nvidia Releases a 550B Open Model</dc:title>
  <dc:creator>AI News Digest</dc:creator>
  <cp:keywords/>
  <dcterms:created xsi:type="dcterms:W3CDTF">2026-06-15T18:53:29Z</dcterms:created>
  <dcterms:modified xsi:type="dcterms:W3CDTF">2026-06-15T18:53:29Z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2026-06-15</vt:lpwstr>
  </property>
</Properties>
</file>