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Frontier AI’s Price War Meets the Open-Weight Surge</w:t>
      </w:r>
    </w:p>
    <w:p>
      <w:pPr>
        <w:pStyle w:val="Author"/>
      </w:pPr>
      <w:r>
        <w:t xml:space="preserve">AI High Signal Digest</w:t>
      </w:r>
    </w:p>
    <w:p>
      <w:pPr>
        <w:pStyle w:val="Date"/>
      </w:pPr>
      <w:r>
        <w:t xml:space="preserve">2026-08-13</w:t>
      </w:r>
    </w:p>
    <w:bookmarkStart w:id="49" w:name="X5fcf49dfe581b4917bc32ce9c70a0236b9111fb"/>
    <w:p>
      <w:pPr>
        <w:pStyle w:val="Heading1"/>
      </w:pPr>
      <w:r>
        <w:t xml:space="preserve">Frontier AI’s Price War Meets the Open-Weight Surge</w:t>
      </w:r>
    </w:p>
    <w:p>
      <w:pPr>
        <w:pStyle w:val="FirstParagraph"/>
      </w:pPr>
      <w:r>
        <w:rPr>
          <w:iCs/>
          <w:i/>
        </w:rPr>
        <w:t xml:space="preserve">By AI High Signal Digest • August 13, 2026</w:t>
      </w:r>
    </w:p>
    <w:p>
      <w:pPr>
        <w:pStyle w:val="BodyText"/>
      </w:pPr>
      <w:r>
        <w:t xml:space="preserve">Grok 4.6 reached frontier benchmark territory at materially lower cost as DeepSeek V4 Pro and Qwen3.8 accelerated the open-weight challenge. The brief also tracks the research, product, lab-strategy, and policy shifts following that release wave.</w:t>
      </w:r>
    </w:p>
    <w:bookmarkStart w:id="20" w:name="top-stories"/>
    <w:p>
      <w:pPr>
        <w:pStyle w:val="Heading2"/>
      </w:pPr>
      <w:r>
        <w:t xml:space="preserve">Top Stories</w:t>
      </w:r>
    </w:p>
    <w:p>
      <w:pPr>
        <w:pStyle w:val="FirstParagraph"/>
      </w:pPr>
      <w:r>
        <w:rPr>
          <w:iCs/>
          <w:i/>
        </w:rPr>
        <w:t xml:space="preserve">Why it matters: Frontier competition is shifting from raw scores to capability per dollar and access to deployable weights.</w:t>
      </w:r>
      <w:r>
        <w:t xml:space="preserve"> </w:t>
      </w:r>
      <w:r>
        <w:t xml:space="preserve">[1, 2]</w:t>
      </w:r>
    </w:p>
    <w:p>
      <w:pPr>
        <w:pStyle w:val="BodyText"/>
      </w:pPr>
      <w:r>
        <w:rPr>
          <w:bCs/>
          <w:b/>
        </w:rPr>
        <w:t xml:space="preserve">Grok 4.6 resets the cost curve.</w:t>
      </w:r>
      <w:r>
        <w:t xml:space="preserve"> </w:t>
      </w:r>
      <w:r>
        <w:t xml:space="preserve">Artificial Analysis scores it 61, level with GPT-5.6 Sol; pricing is $2/$6 per million input/output tokens and $0.84 per task, 60%+ below Opus 5 and Sol. On AA-Briefcase it reaches Fable 5-tier while averaging about 53 turns and 0.5B input tokens, versus about 103 turns and 2.0B for Opus 5 Max. [1] xAI attributes the jump to supplemental training, regenerated SFT trajectories, agentic RL, and more self-testing on long tasks; the comparison results are company-reported. [3]</w:t>
      </w:r>
    </w:p>
    <w:p>
      <w:pPr>
        <w:pStyle w:val="BodyText"/>
      </w:pPr>
      <w:r>
        <w:rPr>
          <w:bCs/>
          <w:b/>
        </w:rPr>
        <w:t xml:space="preserve">DeepSeek V4 Pro 0813 and Qwen3.8 make open weights the other front.</w:t>
      </w:r>
      <w:r>
        <w:t xml:space="preserve"> </w:t>
      </w:r>
      <w:r>
        <w:t xml:space="preserve">DeepSeek’s model is live on OpenRouter, with the company reporting large gains over its preview: DeepSWE 62.7, CyberGym 83.3, NL2Repo 61.5, and Terminal Bench 2.1 at 87.9. [4] ValsAI places it second among open-weight models at $0.14 per task—17× cheaper than Kimi K3—but also finds an uneven profile: 54.68% on Terminal Bench 2.1, 33rd of 52. [5, 6] Alibaba’s Qwen3.8-2.4T-A95B adds a 2.4T-parameter, 95B-active, 512-expert open model with day-zero vLLM support and ready quantized checkpoints for NVIDIA and AMD hardware. [2]</w:t>
      </w:r>
    </w:p>
    <w:bookmarkEnd w:id="20"/>
    <w:bookmarkStart w:id="21" w:name="research-innovation"/>
    <w:p>
      <w:pPr>
        <w:pStyle w:val="Heading2"/>
      </w:pPr>
      <w:r>
        <w:t xml:space="preserve">Research &amp; Innovation</w:t>
      </w:r>
    </w:p>
    <w:p>
      <w:pPr>
        <w:pStyle w:val="FirstParagraph"/>
      </w:pPr>
      <w:r>
        <w:rPr>
          <w:iCs/>
          <w:i/>
        </w:rPr>
        <w:t xml:space="preserve">Why it matters: The strongest technical signals are about practice, realistic evaluation, and adaptation around models—not only scale.</w:t>
      </w:r>
      <w:r>
        <w:t xml:space="preserve"> </w:t>
      </w:r>
      <w:r>
        <w:t xml:space="preserve">[7, 8]</w:t>
      </w:r>
    </w:p>
    <w:p>
      <w:pPr>
        <w:pStyle w:val="BodyText"/>
      </w:pPr>
      <w:r>
        <w:rPr>
          <w:bCs/>
          <w:b/>
        </w:rPr>
        <w:t xml:space="preserve">ResidencyRL treats clinical skill as practice.</w:t>
      </w:r>
      <w:r>
        <w:t xml:space="preserve"> </w:t>
      </w:r>
      <w:r>
        <w:t xml:space="preserve">In the reported experiment, Gemini 3.5 Flash trained across 49,870 simulated telehealth encounters and 81 conditions, with deceptive or resistant patients and conversations up to 60 turns. Diagnostic accuracy rose from 81% to 88%, missed red flags fell 31%, and clinicians preferred the trained agent in 87.6% of 97 blinded comparisons; gains transferred to unseen oncology cases. [7]</w:t>
      </w:r>
    </w:p>
    <w:p>
      <w:pPr>
        <w:pStyle w:val="BodyText"/>
      </w:pPr>
      <w:r>
        <w:rPr>
          <w:bCs/>
          <w:b/>
        </w:rPr>
        <w:t xml:space="preserve">SRE-Bench tests the security problem that source-code benchmarks miss.</w:t>
      </w:r>
      <w:r>
        <w:t xml:space="preserve"> </w:t>
      </w:r>
      <w:r>
        <w:t xml:space="preserve">The contamination-free benchmark asks agents to reverse-engineer binaries—the format of much enterprise software, firmware, and malware—and its initial results show meaningful separation between frontier models while leaving substantial room for improvement. [8]</w:t>
      </w:r>
    </w:p>
    <w:p>
      <w:pPr>
        <w:pStyle w:val="BodyText"/>
      </w:pPr>
      <w:r>
        <w:rPr>
          <w:bCs/>
          <w:b/>
        </w:rPr>
        <w:t xml:space="preserve">Self-evolution is appearing first in the operational layer.</w:t>
      </w:r>
      <w:r>
        <w:t xml:space="preserve"> </w:t>
      </w:r>
      <w:r>
        <w:t xml:space="preserve">OEO lets GPT-5.5 select failures and rewrite reusable skills, winning 12/14 comparisons; SHE updates prompts, rule banks, safety memory, and tool policies, reducing attack success from 17.1% to 5.5% versus a static harness. Humans still set the model, objective, and evaluator, so this is self-evolving infrastructure—not recursive self-improvement. [9]</w:t>
      </w:r>
    </w:p>
    <w:bookmarkEnd w:id="21"/>
    <w:bookmarkStart w:id="22" w:name="products-launches"/>
    <w:p>
      <w:pPr>
        <w:pStyle w:val="Heading2"/>
      </w:pPr>
      <w:r>
        <w:t xml:space="preserve">Products &amp; Launches</w:t>
      </w:r>
    </w:p>
    <w:p>
      <w:pPr>
        <w:pStyle w:val="FirstParagraph"/>
      </w:pPr>
      <w:r>
        <w:rPr>
          <w:iCs/>
          <w:i/>
        </w:rPr>
        <w:t xml:space="preserve">Why it matters: AI products are moving agentic work into local development, grounded tool chains, and accessibility workflows.</w:t>
      </w:r>
      <w:r>
        <w:t xml:space="preserve"> </w:t>
      </w:r>
      <w:r>
        <w:t xml:space="preserve">[10, 11]</w:t>
      </w:r>
    </w:p>
    <w:p>
      <w:pPr>
        <w:pStyle w:val="BodyText"/>
      </w:pPr>
      <w:r>
        <w:rPr>
          <w:bCs/>
          <w:b/>
        </w:rPr>
        <w:t xml:space="preserve">Codex arrives as a Linux desktop workflow.</w:t>
      </w:r>
      <w:r>
        <w:t xml:space="preserve"> </w:t>
      </w:r>
      <w:r>
        <w:t xml:space="preserve">The preview combines Codex, ChatGPT, and Work with parallel coding agents, Git worktrees, diff review, scheduled tasks, skills, and browser tools. Its Linux sandbox uses bubblewrap, namespaces, and seccomp to restrict files and processes and protect sensitive paths. [10]</w:t>
      </w:r>
    </w:p>
    <w:p>
      <w:pPr>
        <w:pStyle w:val="BodyText"/>
      </w:pPr>
      <w:r>
        <w:rPr>
          <w:bCs/>
          <w:b/>
        </w:rPr>
        <w:t xml:space="preserve">Gemini API tool combination removes orchestration glue.</w:t>
      </w:r>
      <w:r>
        <w:t xml:space="preserve"> </w:t>
      </w:r>
      <w:r>
        <w:t xml:space="preserve">Developers can call Google Search, Google Maps, custom functions, and MCP servers in one request; Gemini can find a venue, retrieve current physical details, and pass structured parameters into a reservation function without developer-side round trips. [11]</w:t>
      </w:r>
    </w:p>
    <w:p>
      <w:pPr>
        <w:pStyle w:val="BodyText"/>
      </w:pPr>
      <w:r>
        <w:rPr>
          <w:bCs/>
          <w:b/>
        </w:rPr>
        <w:t xml:space="preserve">Google DeepMind’s SL2T brings ASL input to phones.</w:t>
      </w:r>
      <w:r>
        <w:t xml:space="preserve"> </w:t>
      </w:r>
      <w:r>
        <w:t xml:space="preserve">The model starts with ASL-to-English on Pixel 11 through Gboard and Live Transcribe, translates simultaneous hand, body, and face movement, and keeps pose tracking on-device while servers produce text. It was built with Deaf Googlers and the company’s Sign Language Advisory Committee. [12, 13, 14, 15]</w:t>
      </w:r>
    </w:p>
    <w:bookmarkEnd w:id="22"/>
    <w:bookmarkStart w:id="23" w:name="industry-moves"/>
    <w:p>
      <w:pPr>
        <w:pStyle w:val="Heading2"/>
      </w:pPr>
      <w:r>
        <w:t xml:space="preserve">Industry Moves</w:t>
      </w:r>
    </w:p>
    <w:p>
      <w:pPr>
        <w:pStyle w:val="FirstParagraph"/>
      </w:pPr>
      <w:r>
        <w:rPr>
          <w:iCs/>
          <w:i/>
        </w:rPr>
        <w:t xml:space="preserve">Why it matters: Frontier pressure is redirecting lab resources and pulling senior researchers toward new organizations.</w:t>
      </w:r>
      <w:r>
        <w:t xml:space="preserve"> </w:t>
      </w:r>
      <w:r>
        <w:t xml:space="preserve">[16, 17]</w:t>
      </w:r>
    </w:p>
    <w:p>
      <w:pPr>
        <w:pStyle w:val="BodyText"/>
      </w:pPr>
      <w:r>
        <w:rPr>
          <w:bCs/>
          <w:b/>
        </w:rPr>
        <w:t xml:space="preserve">Google is reportedly prioritizing recursive self-improvement.</w:t>
      </w:r>
      <w:r>
        <w:t xml:space="preserve"> </w:t>
      </w:r>
      <w:r>
        <w:t xml:space="preserve">Reuters reporting relayed here says Sergey Brin is steering resources toward systems that improve without human intervention; Google then delayed its next flagship Gemini by two months after internal tests showed it lagging rivals, including in coding. [16]</w:t>
      </w:r>
    </w:p>
    <w:p>
      <w:pPr>
        <w:pStyle w:val="BodyText"/>
      </w:pPr>
      <w:r>
        <w:rPr>
          <w:bCs/>
          <w:b/>
        </w:rPr>
        <w:t xml:space="preserve">A new London lab is targeting a $500 million raise.</w:t>
      </w:r>
      <w:r>
        <w:t xml:space="preserve"> </w:t>
      </w:r>
      <w:r>
        <w:t xml:space="preserve">Sifted reports that former DeepMind world-model lead Jack Parker-Holder is pursuing the fundraise with six other former Google DeepMind researchers—a potential new outlet for frontier talent. [17]</w:t>
      </w:r>
    </w:p>
    <w:bookmarkEnd w:id="23"/>
    <w:bookmarkStart w:id="24" w:name="policy-regulation"/>
    <w:p>
      <w:pPr>
        <w:pStyle w:val="Heading2"/>
      </w:pPr>
      <w:r>
        <w:t xml:space="preserve">Policy &amp; Regulation</w:t>
      </w:r>
    </w:p>
    <w:p>
      <w:pPr>
        <w:pStyle w:val="FirstParagraph"/>
      </w:pPr>
      <w:r>
        <w:rPr>
          <w:iCs/>
          <w:i/>
        </w:rPr>
        <w:t xml:space="preserve">Why it matters: Open-model releases may soon face a prerelease safety gate previously associated with closed frontier systems.</w:t>
      </w:r>
      <w:r>
        <w:t xml:space="preserve"> </w:t>
      </w:r>
      <w:r>
        <w:t xml:space="preserve">[18]</w:t>
      </w:r>
    </w:p>
    <w:p>
      <w:pPr>
        <w:pStyle w:val="BodyText"/>
      </w:pPr>
      <w:r>
        <w:t xml:space="preserve">WIRED reports that the White House is preparing to bring open models into its voluntary, secret prerelease safety-testing framework once they reach capabilities comparable to leading Anthropic and OpenAI systems, potentially imposing a 30-day test period. The policy is weighing the risk of advantaging closed labs against slowing US open-model development. [18]</w:t>
      </w:r>
    </w:p>
    <w:bookmarkEnd w:id="24"/>
    <w:bookmarkStart w:id="48" w:name="quick-takes"/>
    <w:p>
      <w:pPr>
        <w:pStyle w:val="Heading2"/>
      </w:pPr>
      <w:r>
        <w:t xml:space="preserve">Quick Takes</w:t>
      </w:r>
    </w:p>
    <w:p>
      <w:pPr>
        <w:pStyle w:val="FirstParagraph"/>
      </w:pPr>
      <w:r>
        <w:rPr>
          <w:iCs/>
          <w:i/>
        </w:rPr>
        <w:t xml:space="preserve">Why it matters: Specialized, smaller, and lower-latency systems are spreading capability beyond general-purpose chat.</w:t>
      </w:r>
    </w:p>
    <w:p>
      <w:pPr>
        <w:numPr>
          <w:ilvl w:val="0"/>
          <w:numId w:val="1001"/>
        </w:numPr>
        <w:pStyle w:val="Compact"/>
      </w:pPr>
      <w:r>
        <w:t xml:space="preserve">Microsoft’s MAI-Thinking-1, its first reasoning model built from scratch, is now available in Microsoft Foundry. [19]</w:t>
      </w:r>
    </w:p>
    <w:p>
      <w:pPr>
        <w:numPr>
          <w:ilvl w:val="0"/>
          <w:numId w:val="1001"/>
        </w:numPr>
        <w:pStyle w:val="Compact"/>
      </w:pPr>
      <w:r>
        <w:t xml:space="preserve">Liquid AI released a 3B VLM for screens, documents, and physical-world inputs, with coordinate grounding, OCR, chart reading, and tool calls; Cohere released a 2.4B Apache-licensed VLM aimed at document understanding. [20, 21]</w:t>
      </w:r>
    </w:p>
    <w:p>
      <w:pPr>
        <w:numPr>
          <w:ilvl w:val="0"/>
          <w:numId w:val="1001"/>
        </w:numPr>
        <w:pStyle w:val="Compact"/>
      </w:pPr>
      <w:r>
        <w:t xml:space="preserve">Deepgram’s Flux TTS targets live calls with turn context, interruption handling, expressiveness, and latency as low as 80 ms; it is free to build with until September 12. [22]</w:t>
      </w:r>
    </w:p>
    <w:p>
      <w:r>
        <w:pict>
          <v:rect style="width:0;height:1.5pt" o:hralign="center" o:hrstd="t" o:hr="t"/>
        </w:pict>
      </w:r>
    </w:p>
    <w:bookmarkStart w:id="47" w:name="sources"/>
    <w:p>
      <w:pPr>
        <w:pStyle w:val="Heading3"/>
      </w:pPr>
      <w:r>
        <w:t xml:space="preserve">Sources</w:t>
      </w:r>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@ArtificialAnlys</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@vllm_project</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@OpenRouter</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@ValsAI</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@ValsAI</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@ValsAI</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@TheTuringPost</w:t>
        </w:r>
      </w:hyperlink>
    </w:p>
    <w:p>
      <w:pPr>
        <w:numPr>
          <w:ilvl w:val="0"/>
          <w:numId w:val="1002"/>
        </w:numPr>
        <w:pStyle w:val="Compact"/>
      </w:pPr>
      <w:hyperlink r:id="rId34">
        <w:r>
          <w:rPr>
            <w:rStyle w:val="Hyperlink"/>
          </w:rPr>
          <w:t xml:space="preserve">𝕏 article by</w:t>
        </w:r>
        <w:r>
          <w:rPr>
            <w:rStyle w:val="Hyperlink"/>
          </w:rPr>
          <w:t xml:space="preserve"> </w:t>
        </w:r>
        <w:r>
          <w:rPr>
            <w:rStyle w:val="Hyperlink"/>
          </w:rPr>
          <w:t xml:space="preserve">@reach_vb</w:t>
        </w:r>
      </w:hyperlink>
    </w:p>
    <w:p>
      <w:pPr>
        <w:numPr>
          <w:ilvl w:val="0"/>
          <w:numId w:val="1002"/>
        </w:numPr>
        <w:pStyle w:val="Compact"/>
      </w:pPr>
      <w:hyperlink r:id="rId35">
        <w:r>
          <w:rPr>
            <w:rStyle w:val="Hyperlink"/>
          </w:rPr>
          <w:t xml:space="preserve">𝕏 article by</w:t>
        </w:r>
        <w:r>
          <w:rPr>
            <w:rStyle w:val="Hyperlink"/>
          </w:rPr>
          <w:t xml:space="preserve"> </w:t>
        </w:r>
        <w:r>
          <w:rPr>
            <w:rStyle w:val="Hyperlink"/>
          </w:rPr>
          <w:t xml:space="preserve">@_philschmid</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@etnshow</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@mustafasuleyman</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@liquidai</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@cohere</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@deepgramscott</w:t>
        </w:r>
      </w:hyperlink>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x.com/ArtificialAnlys/status/2087564648325530099" TargetMode="External" /><Relationship Type="http://schemas.openxmlformats.org/officeDocument/2006/relationships/hyperlink" Id="rId36" Target="https://x.com/GoogleDeepMind/status/2087541213284946191" TargetMode="External" /><Relationship Type="http://schemas.openxmlformats.org/officeDocument/2006/relationships/hyperlink" Id="rId37" Target="https://x.com/GoogleDeepMind/status/2087541215323476034" TargetMode="External" /><Relationship Type="http://schemas.openxmlformats.org/officeDocument/2006/relationships/hyperlink" Id="rId38" Target="https://x.com/GoogleDeepMind/status/2087541217965809850" TargetMode="External" /><Relationship Type="http://schemas.openxmlformats.org/officeDocument/2006/relationships/hyperlink" Id="rId39" Target="https://x.com/GoogleDeepMind/status/2087541220494938537" TargetMode="External" /><Relationship Type="http://schemas.openxmlformats.org/officeDocument/2006/relationships/hyperlink" Id="rId28" Target="https://x.com/OpenRouter/status/2087579472380018792" TargetMode="External" /><Relationship Type="http://schemas.openxmlformats.org/officeDocument/2006/relationships/hyperlink" Id="rId33" Target="https://x.com/TheTuringPost/status/2087577374678474824" TargetMode="External" /><Relationship Type="http://schemas.openxmlformats.org/officeDocument/2006/relationships/hyperlink" Id="rId32" Target="https://x.com/ValsAI/status/2087682813743317396" TargetMode="External" /><Relationship Type="http://schemas.openxmlformats.org/officeDocument/2006/relationships/hyperlink" Id="rId29" Target="https://x.com/ValsAI/status/2087697657301279220" TargetMode="External" /><Relationship Type="http://schemas.openxmlformats.org/officeDocument/2006/relationships/hyperlink" Id="rId30" Target="https://x.com/ValsAI/status/2087697663747830246" TargetMode="External" /><Relationship Type="http://schemas.openxmlformats.org/officeDocument/2006/relationships/hyperlink" Id="rId45" Target="https://x.com/cohere/status/2087571573947392419" TargetMode="External" /><Relationship Type="http://schemas.openxmlformats.org/officeDocument/2006/relationships/hyperlink" Id="rId46" Target="https://x.com/deepgramscott/status/2087533416849838386" TargetMode="External" /><Relationship Type="http://schemas.openxmlformats.org/officeDocument/2006/relationships/hyperlink" Id="rId41" Target="https://x.com/etnshow/status/2087582124006166614" TargetMode="External" /><Relationship Type="http://schemas.openxmlformats.org/officeDocument/2006/relationships/hyperlink" Id="rId35" Target="https://x.com/i/article/2087588209605726208" TargetMode="External" /><Relationship Type="http://schemas.openxmlformats.org/officeDocument/2006/relationships/hyperlink" Id="rId34" Target="https://x.com/i/article/2087620667348754432" TargetMode="External" /><Relationship Type="http://schemas.openxmlformats.org/officeDocument/2006/relationships/hyperlink" Id="rId31" Target="https://x.com/kimmonismus/status/2087532555277115604" TargetMode="External" /><Relationship Type="http://schemas.openxmlformats.org/officeDocument/2006/relationships/hyperlink" Id="rId27" Target="https://x.com/kimmonismus/status/2087563670054211704" TargetMode="External" /><Relationship Type="http://schemas.openxmlformats.org/officeDocument/2006/relationships/hyperlink" Id="rId40" Target="https://x.com/kimmonismus/status/2087623474672021550" TargetMode="External" /><Relationship Type="http://schemas.openxmlformats.org/officeDocument/2006/relationships/hyperlink" Id="rId42" Target="https://x.com/kimmonismus/status/2087667694619484401" TargetMode="External" /><Relationship Type="http://schemas.openxmlformats.org/officeDocument/2006/relationships/hyperlink" Id="rId44" Target="https://x.com/liquidai/status/2087539876929441983" TargetMode="External" /><Relationship Type="http://schemas.openxmlformats.org/officeDocument/2006/relationships/hyperlink" Id="rId43" Target="https://x.com/mustafasuleyman/status/2087570047967408396" TargetMode="External" /><Relationship Type="http://schemas.openxmlformats.org/officeDocument/2006/relationships/hyperlink" Id="rId26" Target="https://x.com/vllm_project/status/2087571359413281049" TargetMode="External" /></Relationships>
</file>

<file path=word/_rels/footnotes.xml.rels><?xml version="1.0" encoding="UTF-8"?><Relationships xmlns="http://schemas.openxmlformats.org/package/2006/relationships"><Relationship Type="http://schemas.openxmlformats.org/officeDocument/2006/relationships/hyperlink" Id="rId25" Target="https://x.com/ArtificialAnlys/status/2087564648325530099" TargetMode="External" /><Relationship Type="http://schemas.openxmlformats.org/officeDocument/2006/relationships/hyperlink" Id="rId36" Target="https://x.com/GoogleDeepMind/status/2087541213284946191" TargetMode="External" /><Relationship Type="http://schemas.openxmlformats.org/officeDocument/2006/relationships/hyperlink" Id="rId37" Target="https://x.com/GoogleDeepMind/status/2087541215323476034" TargetMode="External" /><Relationship Type="http://schemas.openxmlformats.org/officeDocument/2006/relationships/hyperlink" Id="rId38" Target="https://x.com/GoogleDeepMind/status/2087541217965809850" TargetMode="External" /><Relationship Type="http://schemas.openxmlformats.org/officeDocument/2006/relationships/hyperlink" Id="rId39" Target="https://x.com/GoogleDeepMind/status/2087541220494938537" TargetMode="External" /><Relationship Type="http://schemas.openxmlformats.org/officeDocument/2006/relationships/hyperlink" Id="rId28" Target="https://x.com/OpenRouter/status/2087579472380018792" TargetMode="External" /><Relationship Type="http://schemas.openxmlformats.org/officeDocument/2006/relationships/hyperlink" Id="rId33" Target="https://x.com/TheTuringPost/status/2087577374678474824" TargetMode="External" /><Relationship Type="http://schemas.openxmlformats.org/officeDocument/2006/relationships/hyperlink" Id="rId32" Target="https://x.com/ValsAI/status/2087682813743317396" TargetMode="External" /><Relationship Type="http://schemas.openxmlformats.org/officeDocument/2006/relationships/hyperlink" Id="rId29" Target="https://x.com/ValsAI/status/2087697657301279220" TargetMode="External" /><Relationship Type="http://schemas.openxmlformats.org/officeDocument/2006/relationships/hyperlink" Id="rId30" Target="https://x.com/ValsAI/status/2087697663747830246" TargetMode="External" /><Relationship Type="http://schemas.openxmlformats.org/officeDocument/2006/relationships/hyperlink" Id="rId45" Target="https://x.com/cohere/status/2087571573947392419" TargetMode="External" /><Relationship Type="http://schemas.openxmlformats.org/officeDocument/2006/relationships/hyperlink" Id="rId46" Target="https://x.com/deepgramscott/status/2087533416849838386" TargetMode="External" /><Relationship Type="http://schemas.openxmlformats.org/officeDocument/2006/relationships/hyperlink" Id="rId41" Target="https://x.com/etnshow/status/2087582124006166614" TargetMode="External" /><Relationship Type="http://schemas.openxmlformats.org/officeDocument/2006/relationships/hyperlink" Id="rId35" Target="https://x.com/i/article/2087588209605726208" TargetMode="External" /><Relationship Type="http://schemas.openxmlformats.org/officeDocument/2006/relationships/hyperlink" Id="rId34" Target="https://x.com/i/article/2087620667348754432" TargetMode="External" /><Relationship Type="http://schemas.openxmlformats.org/officeDocument/2006/relationships/hyperlink" Id="rId31" Target="https://x.com/kimmonismus/status/2087532555277115604" TargetMode="External" /><Relationship Type="http://schemas.openxmlformats.org/officeDocument/2006/relationships/hyperlink" Id="rId27" Target="https://x.com/kimmonismus/status/2087563670054211704" TargetMode="External" /><Relationship Type="http://schemas.openxmlformats.org/officeDocument/2006/relationships/hyperlink" Id="rId40" Target="https://x.com/kimmonismus/status/2087623474672021550" TargetMode="External" /><Relationship Type="http://schemas.openxmlformats.org/officeDocument/2006/relationships/hyperlink" Id="rId42" Target="https://x.com/kimmonismus/status/2087667694619484401" TargetMode="External" /><Relationship Type="http://schemas.openxmlformats.org/officeDocument/2006/relationships/hyperlink" Id="rId44" Target="https://x.com/liquidai/status/2087539876929441983" TargetMode="External" /><Relationship Type="http://schemas.openxmlformats.org/officeDocument/2006/relationships/hyperlink" Id="rId43" Target="https://x.com/mustafasuleyman/status/2087570047967408396" TargetMode="External" /><Relationship Type="http://schemas.openxmlformats.org/officeDocument/2006/relationships/hyperlink" Id="rId26" Target="https://x.com/vllm_project/status/208757135941328104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Frontier AI’s Price War Meets the Open-Weight Surge</dc:title>
  <dc:creator>AI High Signal Digest</dc:creator>
  <cp:keywords/>
  <dcterms:created xsi:type="dcterms:W3CDTF">2026-08-13T23:05:45Z</dcterms:created>
  <dcterms:modified xsi:type="dcterms:W3CDTF">2026-08-13T23:05:45Z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2026-08-13</vt:lpwstr>
  </property>
</Properties>
</file>