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Frontier Labs Move to Pace AI—While Fighting Over Who Sets the Rules</w:t>
      </w:r>
    </w:p>
    <w:p>
      <w:pPr>
        <w:pStyle w:val="Author"/>
      </w:pPr>
      <w:r>
        <w:t xml:space="preserve">AI Leaders Briefing</w:t>
      </w:r>
    </w:p>
    <w:p>
      <w:pPr>
        <w:pStyle w:val="Date"/>
      </w:pPr>
      <w:r>
        <w:t xml:space="preserve">2026-09-14</w:t>
      </w:r>
    </w:p>
    <w:bookmarkStart w:id="72" w:name="X2239ea27520e92fbc069d04642ef49d21f76c5d"/>
    <w:p>
      <w:pPr>
        <w:pStyle w:val="Heading1"/>
      </w:pPr>
      <w:r>
        <w:t xml:space="preserve">Frontier Labs Move to Pace AI—While Fighting Over Who Sets the Rules</w:t>
      </w:r>
    </w:p>
    <w:p>
      <w:pPr>
        <w:pStyle w:val="FirstParagraph"/>
      </w:pPr>
      <w:r>
        <w:rPr>
          <w:iCs/>
          <w:i/>
        </w:rPr>
        <w:t xml:space="preserve">By AI Leaders Briefing • September 14, 2026</w:t>
      </w:r>
    </w:p>
    <w:p>
      <w:pPr>
        <w:pStyle w:val="BodyText"/>
      </w:pPr>
      <w:r>
        <w:t xml:space="preserve">A reported OpenAI agentic mathematics result accelerated a cross-lab argument over evaluation, openness, and control. Mistral’s €3 billion raise, genome-scale biology tooling, and new cyber-defense practices show the capability race moving into infrastructure and governance.</w:t>
      </w:r>
    </w:p>
    <w:bookmarkStart w:id="24" w:name="top-signals-of-the-week"/>
    <w:p>
      <w:pPr>
        <w:pStyle w:val="Heading2"/>
      </w:pPr>
      <w:r>
        <w:t xml:space="preserve">Top Signals of the Week</w:t>
      </w:r>
    </w:p>
    <w:bookmarkStart w:id="20" w:name="X7176fc673a8065c77f3c9f47f0976bbcb98e6bb"/>
    <w:p>
      <w:pPr>
        <w:pStyle w:val="Heading3"/>
      </w:pPr>
      <w:r>
        <w:t xml:space="preserve">OpenAI research team — the Navier–Stokes result is a system-level capability claim</w:t>
      </w:r>
    </w:p>
    <w:p>
      <w:pPr>
        <w:pStyle w:val="FirstParagraph"/>
      </w:pPr>
      <w:r>
        <w:t xml:space="preserve">OpenAI’s original write-up says its internal system produced an analytical proof and Lean formalization showing that an initially smooth fluid at rest, under a smooth applied force, can develop a finite-time singularity while its energy remains finite. OpenAI calls this a resolution of statements C and D in the official Millennium Prize formulation. [1]</w:t>
      </w:r>
    </w:p>
    <w:p>
      <w:pPr>
        <w:pStyle w:val="BodyText"/>
      </w:pPr>
      <w:r>
        <w:t xml:space="preserve">The reported result depended on an agent system, not just a model: agents had code execution and cached internet access, communicated in groups, and the Navier–Stokes effort used roughly 10,000 concurrent agents under monitoring and isolation. The agents reached the result in about 88 hours; Lean formalization and verification took another 17 hours via GPT-6 Astra. OpenAI reports 2.7 million messages and about 130 billion output tokens for this problem. [1] OpenAI says it will not claim the Millennium Prize and describes the result as a snapshot of progress rather than a culmination. [1]</w:t>
      </w:r>
    </w:p>
    <w:p>
      <w:pPr>
        <w:pStyle w:val="BodyText"/>
      </w:pPr>
      <w:r>
        <w:t xml:space="preserve">Thomas Wolf, Hugging Face co-founder, accepts that the result is</w:t>
      </w:r>
      <w:r>
        <w:t xml:space="preserve"> </w:t>
      </w:r>
      <w:r>
        <w:t xml:space="preserve">“</w:t>
      </w:r>
      <w:r>
        <w:t xml:space="preserve">massively impressive</w:t>
      </w:r>
      <w:r>
        <w:t xml:space="preserve">”</w:t>
      </w:r>
      <w:r>
        <w:t xml:space="preserve"> </w:t>
      </w:r>
      <w:r>
        <w:t xml:space="preserve">but argues that it is a counterexample rather than a full proof in the broader sense of mathematical progress. He says recent AI-for-math results look like powerful, massively parallel search for a needle in a haystack, while leaving open whether models can identify elegant proofs, fertile ideas, or worthwhile research programs—what mathematicians call taste. [2]</w:t>
      </w:r>
    </w:p>
    <w:p>
      <w:pPr>
        <w:pStyle w:val="BodyText"/>
      </w:pPr>
      <w:r>
        <w:rPr>
          <w:bCs/>
          <w:b/>
        </w:rPr>
        <w:t xml:space="preserve">Why it matters:</w:t>
      </w:r>
      <w:r>
        <w:t xml:space="preserve"> </w:t>
      </w:r>
      <w:r>
        <w:t xml:space="preserve">The strategic unit is the whole control loop: model, agent population, task decomposition, communication, tool access, monitoring, and a formal checker. The claim therefore advances the capability debate while also making the design of the surrounding harness a first-order safety and evaluation question.</w:t>
      </w:r>
    </w:p>
    <w:bookmarkEnd w:id="20"/>
    <w:bookmarkStart w:id="21" w:name="Xc42ce5c8fedf50e4783efe7bd9414ee64f644ec"/>
    <w:p>
      <w:pPr>
        <w:pStyle w:val="Heading3"/>
      </w:pPr>
      <w:r>
        <w:t xml:space="preserve">Dario Amodei, Anthropic — pacing becomes a cross-lab proposal, with an unresolved governance split</w:t>
      </w:r>
    </w:p>
    <w:p>
      <w:pPr>
        <w:pStyle w:val="FirstParagraph"/>
      </w:pPr>
      <w:r>
        <w:t xml:space="preserve">Amodei’s three-part plan is: embedded third-party evaluators with ongoing, employee-like access; coordination among frontier companies in democratic countries on safety standards and the rate of unchecked progress; and eventual global coordination, including with authoritarian governments where possible. Anthropic is committing immediately to the first step, with evaluators expected to verify safety practices, report incidents, and assess training pipelines as well as finished models. Amodei explicitly defines pacing as slowing rather than halting progress. [3]</w:t>
      </w:r>
    </w:p>
    <w:p>
      <w:pPr>
        <w:pStyle w:val="BodyText"/>
      </w:pPr>
      <w:r>
        <w:t xml:space="preserve">The proposed evaluator model is unusually concrete: access to offices, badges, laptops, tools and permissions comparable to internal risk teams, plus contractual rights to publish key findings without Anthropic editorial control, subject to narrow confidentiality and security exceptions. [3] Sam Altman said OpenAI agrees with pacing and will make the same employee-like evaluator commitment. OpenAI’s follow-up adds a federal framework for consistent frontier-AI safety requirements, explicit safety cases before frontier reinforcement-learning runs expected to increase capability, and shared standards for misalignment, monitoring and safety. [4, 5]</w:t>
      </w:r>
    </w:p>
    <w:p>
      <w:pPr>
        <w:pStyle w:val="BodyText"/>
      </w:pPr>
      <w:r>
        <w:t xml:space="preserve">The coalition is not complete. Demis Hassabis endorsed Amodei’s direction and linked it to Google DeepMind’s proposal for an industry-wide standards body. Hugging Face launched an Open Alignment Initiative and asked to participate in Anthropic’s embedded-evaluator program, arguing that alignment cannot be solved behind closed doors. [6, 7] Aidan Gomez, Cohere’s co-founder and CEO, supports independent review but rejects a regime in which a small group of incumbent labs defines the rules under an antitrust waiver. His alternative is an internationally developed, evidence-based risk framework with mandatory transparency, capability- and context-scoped testing, and layered assurance involving developers, customers, independent reviewers and regulators. [8]</w:t>
      </w:r>
    </w:p>
    <w:p>
      <w:pPr>
        <w:pStyle w:val="BodyText"/>
      </w:pPr>
      <w:r>
        <w:rPr>
          <w:bCs/>
          <w:b/>
        </w:rPr>
        <w:t xml:space="preserve">Why it matters:</w:t>
      </w:r>
      <w:r>
        <w:t xml:space="preserve"> </w:t>
      </w:r>
      <w:r>
        <w:t xml:space="preserve">The argument has moved beyond whether frontier AI needs safety work. The live dispute is who sets the standards, who gets access, and whether a lab-led evaluator model reduces risk or entrenches the firms already at the frontier. Altman’s framing makes concentration of power a second governance risk alongside loss of control. [9]</w:t>
      </w:r>
    </w:p>
    <w:bookmarkEnd w:id="21"/>
    <w:bookmarkStart w:id="22" w:name="X515696d801b3a64d9ed1ac6ed53395d99f20008"/>
    <w:p>
      <w:pPr>
        <w:pStyle w:val="Heading3"/>
      </w:pPr>
      <w:r>
        <w:t xml:space="preserve">Mistral AI — €3 billion backs a sovereign, open-weight full stack</w:t>
      </w:r>
    </w:p>
    <w:p>
      <w:pPr>
        <w:pStyle w:val="FirstParagraph"/>
      </w:pPr>
      <w:r>
        <w:t xml:space="preserve">Mistral announced a €3 billion Series D at a post-money valuation above €21 billion, led by Samsung Electronics with EQT’s Scaleup Europe Fund and PSG Equity. The company says the capital will expand frontier research, training compute, infrastructure, commercial growth and its international footprint. It is positioning the investment around a full stack of open-weight models, infrastructure, compute and production products, with sovereignty defined as customer control over data, models, private capacity and auditable systems. [10]</w:t>
      </w:r>
    </w:p>
    <w:p>
      <w:pPr>
        <w:pStyle w:val="BodyText"/>
      </w:pPr>
      <w:r>
        <w:t xml:space="preserve">The strategy gained an execution layer through Mistral’s Cloudera partnership. Mistral models will run in private and public clouds, on-premises and fully air-gapped environments; customers can train on proprietary data while retaining ownership of both the data and resulting intelligence. The companies describe the goal as keeping data, compute, operations and the learning loop under customer control. [11]</w:t>
      </w:r>
    </w:p>
    <w:p>
      <w:pPr>
        <w:pStyle w:val="BodyText"/>
      </w:pPr>
      <w:r>
        <w:rPr>
          <w:bCs/>
          <w:b/>
        </w:rPr>
        <w:t xml:space="preserve">Why it matters:</w:t>
      </w:r>
      <w:r>
        <w:t xml:space="preserve"> </w:t>
      </w:r>
      <w:r>
        <w:t xml:space="preserve">Sovereign AI is becoming an infrastructure and ownership proposition, not merely a preference for open model weights. Mistral is using capital, industrial investors and enterprise deployment partners to compete on control of the capacity and operating environment around the model.</w:t>
      </w:r>
    </w:p>
    <w:bookmarkEnd w:id="22"/>
    <w:bookmarkStart w:id="23" w:name="X5269de5f770669ac15edc7f98a7a835d35df6e6"/>
    <w:p>
      <w:pPr>
        <w:pStyle w:val="Heading3"/>
      </w:pPr>
      <w:r>
        <w:t xml:space="preserve">Anthropic and OpenAI — cyber safety moves from incident disclosure to operational tooling</w:t>
      </w:r>
    </w:p>
    <w:p>
      <w:pPr>
        <w:pStyle w:val="FirstParagraph"/>
      </w:pPr>
      <w:r>
        <w:t xml:space="preserve">Anthropic published what it called its most detailed threat-intelligence report, covering attempted misuse of Claude for cyberattacks, influence operations, surveillance, biology and weapons. Anthropic says it disrupted every operation described, strengthened safeguards, shared findings where appropriate with authorities and other AI companies, and selected cases that were atypical but among the most sophisticated it had seen. [12] It also said METR would conduct an independent investigation of the earlier unauthorized-access incidents with wide-ranging access to transcripts and employees, including material beyond the original incident window. [13]</w:t>
      </w:r>
    </w:p>
    <w:p>
      <w:pPr>
        <w:pStyle w:val="BodyText"/>
      </w:pPr>
      <w:r>
        <w:t xml:space="preserve">OpenAI’s parallel response is a reusable defensive system: the company says it mobilized more than 250 people across hundreds of systems, used cyber models to find and fix vulnerabilities, and is releasing the architecture and playbook for a</w:t>
      </w:r>
      <w:r>
        <w:t xml:space="preserve"> </w:t>
      </w:r>
      <w:r>
        <w:t xml:space="preserve">“</w:t>
      </w:r>
      <w:r>
        <w:t xml:space="preserve">Defense Factory</w:t>
      </w:r>
      <w:r>
        <w:t xml:space="preserve">”</w:t>
      </w:r>
      <w:r>
        <w:t xml:space="preserve">—a continuous agent loop that finds vulnerabilities, validates them and verifies that fixes work. [14]</w:t>
      </w:r>
    </w:p>
    <w:p>
      <w:pPr>
        <w:pStyle w:val="BodyText"/>
      </w:pPr>
      <w:r>
        <w:rPr>
          <w:bCs/>
          <w:b/>
        </w:rPr>
        <w:t xml:space="preserve">Why it matters:</w:t>
      </w:r>
      <w:r>
        <w:t xml:space="preserve"> </w:t>
      </w:r>
      <w:r>
        <w:t xml:space="preserve">The notable shift is institutional rather than rhetorical. Threat intelligence, external investigation and continuously operating defensive agents are becoming part of the frontier-lab safety stack, alongside model-level safeguards.</w:t>
      </w:r>
    </w:p>
    <w:bookmarkEnd w:id="23"/>
    <w:bookmarkEnd w:id="24"/>
    <w:bookmarkStart w:id="28" w:name="research-engineering"/>
    <w:p>
      <w:pPr>
        <w:pStyle w:val="Heading2"/>
      </w:pPr>
      <w:r>
        <w:t xml:space="preserve">Research &amp; Engineering</w:t>
      </w:r>
    </w:p>
    <w:bookmarkStart w:id="25" w:name="X260acec03beac25dc0be317924d5eff65feb927"/>
    <w:p>
      <w:pPr>
        <w:pStyle w:val="Heading3"/>
      </w:pPr>
      <w:r>
        <w:t xml:space="preserve">Demis Hassabis and Google DeepMind — AlphaGenome becomes a searchable genome-scale resource</w:t>
      </w:r>
    </w:p>
    <w:p>
      <w:pPr>
        <w:pStyle w:val="FirstParagraph"/>
      </w:pPr>
      <w:r>
        <w:t xml:space="preserve">Google DeepMind launched AlphaGenome Atlas, a searchable database of predicted effects for all 9 billion possible single-letter DNA variants. The lab says the Atlas is more than 30 times larger than the AlphaFold Database, spans roughly 1 petabyte and links variants to the molecular mechanisms they may disrupt. Its AlphaGenome Variant Impact score combines AlphaGenome, AlphaMissense and other features to rank mutations and surface mechanisms such as broken gene switches or RNA-splicing instructions. [15, 16, 17] The Atlas, API and related tools are being made available to the scientific community, with academic access described as free. [18, 19]</w:t>
      </w:r>
    </w:p>
    <w:p>
      <w:pPr>
        <w:pStyle w:val="BodyText"/>
      </w:pPr>
      <w:r>
        <w:t xml:space="preserve">The engineering significance is the move from a model demonstration to a queryable research layer. The outputs remain predictions about variant impact; the announcement is not a claim of clinical validation.</w:t>
      </w:r>
    </w:p>
    <w:bookmarkEnd w:id="25"/>
    <w:bookmarkStart w:id="26" w:name="Xee9a101b57e66bd19bc77f29d56c3d68c4a7de5"/>
    <w:p>
      <w:pPr>
        <w:pStyle w:val="Heading3"/>
      </w:pPr>
      <w:r>
        <w:t xml:space="preserve">Mistral Applied AI — agentic code modernization works only with verification and human gates</w:t>
      </w:r>
    </w:p>
    <w:p>
      <w:pPr>
        <w:pStyle w:val="FirstParagraph"/>
      </w:pPr>
      <w:r>
        <w:t xml:space="preserve">Mistral reports helping a European energy operator migrate 40,000 lines of a physics-intensive Fortran 77 reservoir simulator from a 300,000-line codebase. The project began with a parity harness that compared final and critical intermediate numerical values between the old and new implementations, making correctness testable before large-scale migration. [20]</w:t>
      </w:r>
    </w:p>
    <w:p>
      <w:pPr>
        <w:pStyle w:val="BodyText"/>
      </w:pPr>
      <w:r>
        <w:t xml:space="preserve">More than 100 agents documented the legacy code, but Mistral says full autonomy produced functional C++ that largely preserved Fortran-era global structures and GOTO control flow. A planner–coder–tester–reviewer workflow improved quality but still stalled on complex bugs, so the team settled on human-supervised, module-by-module migration with review gates. The first sprint covered 40,000 lines, and Mistral says structured workflows with human review beat both full autonomy and purely manual work for this setting. [20]</w:t>
      </w:r>
    </w:p>
    <w:bookmarkEnd w:id="26"/>
    <w:bookmarkStart w:id="27" w:name="X28d3d42e165cd06defdf51c25c797e6bfda335a"/>
    <w:p>
      <w:pPr>
        <w:pStyle w:val="Heading3"/>
      </w:pPr>
      <w:r>
        <w:t xml:space="preserve">Cohere engineering — inference efficiency is moving into open serving software</w:t>
      </w:r>
    </w:p>
    <w:p>
      <w:pPr>
        <w:pStyle w:val="FirstParagraph"/>
      </w:pPr>
      <w:r>
        <w:t xml:space="preserve">Cohere released an open-source serving system for North Mini Code built around a decode megakernel, which fuses the full LLM decode step into one kernel launch. Cohere reports 1.58× the performance of vLLM at batch size one and 1.25×–1.41× end-to-end serving performance at batch size eight, measured in BF16 on one H100. [21, 22, 23]</w:t>
      </w:r>
    </w:p>
    <w:p>
      <w:pPr>
        <w:pStyle w:val="BodyText"/>
      </w:pPr>
      <w:r>
        <w:t xml:space="preserve">The signal is narrower than a new frontier model, but strategically important: inference cost and latency are being attacked at the kernel and serving layers, with the implementation released rather than kept as a private systems advantage.</w:t>
      </w:r>
    </w:p>
    <w:bookmarkEnd w:id="27"/>
    <w:bookmarkEnd w:id="28"/>
    <w:bookmarkStart w:id="31" w:name="strategy-industry"/>
    <w:p>
      <w:pPr>
        <w:pStyle w:val="Heading2"/>
      </w:pPr>
      <w:r>
        <w:t xml:space="preserve">Strategy &amp; Industry</w:t>
      </w:r>
    </w:p>
    <w:bookmarkStart w:id="29" w:name="X09dcde0a3dcd98c4fc7128a4a2dbea095f01fdb"/>
    <w:p>
      <w:pPr>
        <w:pStyle w:val="Heading3"/>
      </w:pPr>
      <w:r>
        <w:t xml:space="preserve">Anthropic Economics team and Jack Clark — scenario modeling becomes a policy input</w:t>
      </w:r>
    </w:p>
    <w:p>
      <w:pPr>
        <w:pStyle w:val="FirstParagraph"/>
      </w:pPr>
      <w:r>
        <w:t xml:space="preserve">Anthropic released an interactive model of AI’s possible effects on growth, jobs and wages by 2030. It breaks jobs into task bundles and models whether AI helps, performs, leaves untouched or creates tasks; its modest, substantial and extreme scenarios all show economic growth, while the more transformative cases automate more knowledge work and make distribution of gains the central challenge. [24, 25]</w:t>
      </w:r>
    </w:p>
    <w:p>
      <w:pPr>
        <w:pStyle w:val="BodyText"/>
      </w:pPr>
      <w:r>
        <w:t xml:space="preserve">Jack Clark says the tool is intended to help the public and policymakers prepare for divergent futures, but also acknowledges that it starts from 2026 and is silent on policy interventions. Anthropic says it is funding randomized controlled trials through a $200 million economic research fund to generate evidence about possible responses. [26, 27, 28]</w:t>
      </w:r>
    </w:p>
    <w:bookmarkEnd w:id="29"/>
    <w:bookmarkStart w:id="30" w:name="X884226eec81d3f774bb693799560eedd72d1d7b"/>
    <w:p>
      <w:pPr>
        <w:pStyle w:val="Heading3"/>
      </w:pPr>
      <w:r>
        <w:t xml:space="preserve">OpenAI — Astra enters evidence-traceable financial workflows</w:t>
      </w:r>
    </w:p>
    <w:p>
      <w:pPr>
        <w:pStyle w:val="FirstParagraph"/>
      </w:pPr>
      <w:r>
        <w:t xml:space="preserve">OpenAI says ChatGPT for Financial Services is now available as a tailored Work experience combining built-in financial data with GPT-6 Astra’s reasoning for research, financial models and client materials. The product emphasizes tracing figures and claims to specific paragraphs and tables and previewing the supporting passage behind a citation. [29, 30]</w:t>
      </w:r>
    </w:p>
    <w:p>
      <w:pPr>
        <w:pStyle w:val="BodyText"/>
      </w:pPr>
      <w:r>
        <w:t xml:space="preserve">The product signal is less about another general capability claim than about packaging frontier reasoning with domain data and reviewable evidence for a regulated workflow.</w:t>
      </w:r>
    </w:p>
    <w:bookmarkEnd w:id="30"/>
    <w:bookmarkEnd w:id="31"/>
    <w:bookmarkStart w:id="34" w:name="worth-watching"/>
    <w:p>
      <w:pPr>
        <w:pStyle w:val="Heading2"/>
      </w:pPr>
      <w:r>
        <w:t xml:space="preserve">Worth Watching</w:t>
      </w:r>
    </w:p>
    <w:bookmarkStart w:id="32" w:name="Xa425879b508e098c9771c155f381d8c529f5ed1"/>
    <w:p>
      <w:pPr>
        <w:pStyle w:val="Heading3"/>
      </w:pPr>
      <w:r>
        <w:t xml:space="preserve">François Chollet and ARC Prize — the next benchmark target is open-ended invention</w:t>
      </w:r>
    </w:p>
    <w:p>
      <w:pPr>
        <w:pStyle w:val="FirstParagraph"/>
      </w:pPr>
      <w:r>
        <w:t xml:space="preserve">ARC-AGI-4 is being designed as a benchmark for autonomous, open-ended innovation. ARC Prize says humans still significantly outperform AI at this meta-skill and that the benchmark will remain open-source; Chollet says the team has been exploring the problem for about a year and remains on track to release ARC 4 in the first quarter of next year. [31, 32]</w:t>
      </w:r>
    </w:p>
    <w:p>
      <w:pPr>
        <w:pStyle w:val="BodyText"/>
      </w:pPr>
      <w:r>
        <w:t xml:space="preserve">This is a useful counterpoint to the Navier–Stokes episode: it aims to test whether systems can generate new directions and inventions, not only search efficiently over a well-defined objective.</w:t>
      </w:r>
    </w:p>
    <w:bookmarkEnd w:id="32"/>
    <w:bookmarkStart w:id="33" w:name="Xf44f90bb471ae3c676ed7a65edeb65bf12fc5bd"/>
    <w:p>
      <w:pPr>
        <w:pStyle w:val="Heading3"/>
      </w:pPr>
      <w:r>
        <w:t xml:space="preserve">DeepSeek AI and Thomas Wolf, Hugging Face — open models continue to target efficiency</w:t>
      </w:r>
    </w:p>
    <w:p>
      <w:pPr>
        <w:pStyle w:val="FirstParagraph"/>
      </w:pPr>
      <w:r>
        <w:t xml:space="preserve">DeepSeek announced V4.1-Flash as the smallest model in a new architecture family, with native visual understanding and stated goals of higher capability, faster inference and throughput, and scaling toward larger models. Thomas Wolf called it a major update despite the</w:t>
      </w:r>
      <w:r>
        <w:t xml:space="preserve"> </w:t>
      </w:r>
      <w:r>
        <w:t xml:space="preserve">“</w:t>
      </w:r>
      <w:r>
        <w:t xml:space="preserve">Flash</w:t>
      </w:r>
      <w:r>
        <w:t xml:space="preserve">”</w:t>
      </w:r>
      <w:r>
        <w:t xml:space="preserve"> </w:t>
      </w:r>
      <w:r>
        <w:t xml:space="preserve">and minor-version naming and linked both the weights and technical report. [33, 34] The immediate question is whether the release’s efficiency claims survive independent testing and translate into a durable open-model advantage, rather than another short-lived leaderboard movement. [35]</w:t>
      </w:r>
    </w:p>
    <w:bookmarkEnd w:id="33"/>
    <w:bookmarkEnd w:id="34"/>
    <w:bookmarkStart w:id="71" w:name="editorial-outlook"/>
    <w:p>
      <w:pPr>
        <w:pStyle w:val="Heading2"/>
      </w:pPr>
      <w:r>
        <w:t xml:space="preserve">Editorial outlook</w:t>
      </w:r>
    </w:p>
    <w:p>
      <w:pPr>
        <w:pStyle w:val="FirstParagraph"/>
      </w:pPr>
      <w:r>
        <w:t xml:space="preserve">Frontier competition is now being assembled through agent systems, verification, evaluator access and deployment infrastructure as much as through a single model’s benchmark score. [1, 3, 8] The next meaningful discriminators are independent validation of ambitious capability claims, evidence that pacing and safety-case commitments survive real training runs, and whether open or sovereign stacks can turn capital into reliable deployments rather than only stronger positioning.</w:t>
      </w:r>
    </w:p>
    <w:p>
      <w:r>
        <w:pict>
          <v:rect style="width:0;height:1.5pt" o:hralign="center" o:hrstd="t" o:hr="t"/>
        </w:pict>
      </w:r>
    </w:p>
    <w:bookmarkStart w:id="70" w:name="sources"/>
    <w:p>
      <w:pPr>
        <w:pStyle w:val="Heading3"/>
      </w:pPr>
      <w:r>
        <w:t xml:space="preserve">Sources</w:t>
      </w:r>
    </w:p>
    <w:p>
      <w:pPr>
        <w:numPr>
          <w:ilvl w:val="0"/>
          <w:numId w:val="1001"/>
        </w:numPr>
        <w:pStyle w:val="Compact"/>
      </w:pPr>
      <w:hyperlink r:id="rId35">
        <w:r>
          <w:rPr>
            <w:rStyle w:val="Hyperlink"/>
          </w:rPr>
          <w:t xml:space="preserve">On the Navier–Stokes Millennium Prize Problem | OpenAI</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37">
        <w:r>
          <w:rPr>
            <w:rStyle w:val="Hyperlink"/>
          </w:rPr>
          <w:t xml:space="preserve">Dario Amodei — We Must Pace the Frontier</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42">
        <w:r>
          <w:rPr>
            <w:rStyle w:val="Hyperlink"/>
          </w:rPr>
          <w:t xml:space="preserve">Who Gets to Define the Rules for 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44">
        <w:r>
          <w:rPr>
            <w:rStyle w:val="Hyperlink"/>
          </w:rPr>
          <w:t xml:space="preserve">Mistral raises €3B to make sovereign, open-weight AI the technology frontier</w:t>
        </w:r>
      </w:hyperlink>
    </w:p>
    <w:p>
      <w:pPr>
        <w:numPr>
          <w:ilvl w:val="0"/>
          <w:numId w:val="1001"/>
        </w:numPr>
        <w:pStyle w:val="Compact"/>
      </w:pPr>
      <w:hyperlink r:id="rId45">
        <w:r>
          <w:rPr>
            <w:rStyle w:val="Hyperlink"/>
          </w:rPr>
          <w:t xml:space="preserve">Cloudera and Mistral Partner to Bring Specialized, Sovereign Intelligence to Enterprise Data</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54">
        <w:r>
          <w:rPr>
            <w:rStyle w:val="Hyperlink"/>
          </w:rPr>
          <w:t xml:space="preserve">Modernizing complex legacy code with AI agents.</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@jackclarkSF</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@jackclarkSF</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@jackclarkSF</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@arcprize</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@deepseek_ai</w:t>
        </w:r>
      </w:hyperlink>
    </w:p>
    <w:p>
      <w:pPr>
        <w:numPr>
          <w:ilvl w:val="0"/>
          <w:numId w:val="1001"/>
        </w:numPr>
        <w:pStyle w:val="Compact"/>
      </w:pPr>
      <w:hyperlink r:id="rId68">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9">
        <w:r>
          <w:rPr>
            <w:rStyle w:val="Hyperlink"/>
          </w:rPr>
          <w:t xml:space="preserve">𝕏 post by</w:t>
        </w:r>
        <w:r>
          <w:rPr>
            <w:rStyle w:val="Hyperlink"/>
          </w:rPr>
          <w:t xml:space="preserve"> </w:t>
        </w:r>
        <w:r>
          <w:rPr>
            <w:rStyle w:val="Hyperlink"/>
          </w:rPr>
          <w:t xml:space="preserve">@Thom_Wolf</w:t>
        </w:r>
      </w:hyperlink>
    </w:p>
    <w:bookmarkEnd w:id="70"/>
    <w:bookmarkEnd w:id="71"/>
    <w:bookmarkEnd w:id="7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2" Target="https://cohere.com/blog/who-gets-to-define-the-rules-for-ai" TargetMode="External" /><Relationship Type="http://schemas.openxmlformats.org/officeDocument/2006/relationships/hyperlink" Id="rId37" Target="https://darioamodei.com/post/we-must-pace-the-frontier" TargetMode="External" /><Relationship Type="http://schemas.openxmlformats.org/officeDocument/2006/relationships/hyperlink" Id="rId54" Target="https://mistral.ai/news/legacy-code-modernization" TargetMode="External" /><Relationship Type="http://schemas.openxmlformats.org/officeDocument/2006/relationships/hyperlink" Id="rId44" Target="https://mistral.ai/news/mistral-makes-sovereign-open-weight-ai-to-frontier" TargetMode="External" /><Relationship Type="http://schemas.openxmlformats.org/officeDocument/2006/relationships/hyperlink" Id="rId45" Target="https://mistral.ai/news/mistral-x-cloudera" TargetMode="External" /><Relationship Type="http://schemas.openxmlformats.org/officeDocument/2006/relationships/hyperlink" Id="rId35" Target="https://openai.com/index/navier-stokes-solution/" TargetMode="External" /><Relationship Type="http://schemas.openxmlformats.org/officeDocument/2006/relationships/hyperlink" Id="rId58" Target="https://x.com/AnthropicAI/status/2097679796687769689" TargetMode="External" /><Relationship Type="http://schemas.openxmlformats.org/officeDocument/2006/relationships/hyperlink" Id="rId59" Target="https://x.com/AnthropicAI/status/2097679799829307588" TargetMode="External" /><Relationship Type="http://schemas.openxmlformats.org/officeDocument/2006/relationships/hyperlink" Id="rId47" Target="https://x.com/AnthropicAI/status/2097762642958135398" TargetMode="External" /><Relationship Type="http://schemas.openxmlformats.org/officeDocument/2006/relationships/hyperlink" Id="rId46" Target="https://x.com/AnthropicAI/status/2098097512544444447" TargetMode="External" /><Relationship Type="http://schemas.openxmlformats.org/officeDocument/2006/relationships/hyperlink" Id="rId41" Target="https://x.com/ClementDelangue/status/2098790988034580852" TargetMode="External" /><Relationship Type="http://schemas.openxmlformats.org/officeDocument/2006/relationships/hyperlink" Id="rId49" Target="https://x.com/GoogleDeepMind/status/2097325048109384166" TargetMode="External" /><Relationship Type="http://schemas.openxmlformats.org/officeDocument/2006/relationships/hyperlink" Id="rId50" Target="https://x.com/GoogleDeepMind/status/2097325050919596469" TargetMode="External" /><Relationship Type="http://schemas.openxmlformats.org/officeDocument/2006/relationships/hyperlink" Id="rId51" Target="https://x.com/GoogleDeepMind/status/2097325054430200205" TargetMode="External" /><Relationship Type="http://schemas.openxmlformats.org/officeDocument/2006/relationships/hyperlink" Id="rId52" Target="https://x.com/GoogleDeepMind/status/2097325059140411626" TargetMode="External" /><Relationship Type="http://schemas.openxmlformats.org/officeDocument/2006/relationships/hyperlink" Id="rId48" Target="https://x.com/OpenAI/status/2097786616311840853" TargetMode="External" /><Relationship Type="http://schemas.openxmlformats.org/officeDocument/2006/relationships/hyperlink" Id="rId63" Target="https://x.com/OpenAI/status/2098118191029624911" TargetMode="External" /><Relationship Type="http://schemas.openxmlformats.org/officeDocument/2006/relationships/hyperlink" Id="rId64" Target="https://x.com/OpenAI/status/2098118248202215776" TargetMode="External" /><Relationship Type="http://schemas.openxmlformats.org/officeDocument/2006/relationships/hyperlink" Id="rId36" Target="https://x.com/Thom_Wolf/status/2097615465698713666" TargetMode="External" /><Relationship Type="http://schemas.openxmlformats.org/officeDocument/2006/relationships/hyperlink" Id="rId68" Target="https://x.com/Thom_Wolf/status/2097964582736155092" TargetMode="External" /><Relationship Type="http://schemas.openxmlformats.org/officeDocument/2006/relationships/hyperlink" Id="rId69" Target="https://x.com/Thom_Wolf/status/2097982062808428751" TargetMode="External" /><Relationship Type="http://schemas.openxmlformats.org/officeDocument/2006/relationships/hyperlink" Id="rId65" Target="https://x.com/arcprize/status/2098849962754978152" TargetMode="External" /><Relationship Type="http://schemas.openxmlformats.org/officeDocument/2006/relationships/hyperlink" Id="rId55" Target="https://x.com/cohere/status/2097410772355666393" TargetMode="External" /><Relationship Type="http://schemas.openxmlformats.org/officeDocument/2006/relationships/hyperlink" Id="rId56" Target="https://x.com/cohere/status/2097410774540886279" TargetMode="External" /><Relationship Type="http://schemas.openxmlformats.org/officeDocument/2006/relationships/hyperlink" Id="rId57" Target="https://x.com/cohere/status/2097410777804054741" TargetMode="External" /><Relationship Type="http://schemas.openxmlformats.org/officeDocument/2006/relationships/hyperlink" Id="rId67" Target="https://x.com/deepseek_ai/status/2097930608790167907" TargetMode="External" /><Relationship Type="http://schemas.openxmlformats.org/officeDocument/2006/relationships/hyperlink" Id="rId53" Target="https://x.com/demishassabis/status/2097341636472688674" TargetMode="External" /><Relationship Type="http://schemas.openxmlformats.org/officeDocument/2006/relationships/hyperlink" Id="rId40" Target="https://x.com/demishassabis/status/2098909516582490602" TargetMode="External" /><Relationship Type="http://schemas.openxmlformats.org/officeDocument/2006/relationships/hyperlink" Id="rId66" Target="https://x.com/fchollet/status/2098902564955930953" TargetMode="External" /><Relationship Type="http://schemas.openxmlformats.org/officeDocument/2006/relationships/hyperlink" Id="rId60" Target="https://x.com/jackclarkSF/status/2097684881849602166" TargetMode="External" /><Relationship Type="http://schemas.openxmlformats.org/officeDocument/2006/relationships/hyperlink" Id="rId61" Target="https://x.com/jackclarkSF/status/2097693654953627673" TargetMode="External" /><Relationship Type="http://schemas.openxmlformats.org/officeDocument/2006/relationships/hyperlink" Id="rId62" Target="https://x.com/jackclarkSF/status/2097693881831989536" TargetMode="External" /><Relationship Type="http://schemas.openxmlformats.org/officeDocument/2006/relationships/hyperlink" Id="rId38" Target="https://x.com/sama/status/2098811563415150910" TargetMode="External" /><Relationship Type="http://schemas.openxmlformats.org/officeDocument/2006/relationships/hyperlink" Id="rId39" Target="https://x.com/sama/status/2099348812305473766" TargetMode="External" /><Relationship Type="http://schemas.openxmlformats.org/officeDocument/2006/relationships/hyperlink" Id="rId43" Target="https://x.com/sama/status/2099352016988614852" TargetMode="External" /></Relationships>
</file>

<file path=word/_rels/footnotes.xml.rels><?xml version="1.0" encoding="UTF-8"?><Relationships xmlns="http://schemas.openxmlformats.org/package/2006/relationships"><Relationship Type="http://schemas.openxmlformats.org/officeDocument/2006/relationships/hyperlink" Id="rId42" Target="https://cohere.com/blog/who-gets-to-define-the-rules-for-ai" TargetMode="External" /><Relationship Type="http://schemas.openxmlformats.org/officeDocument/2006/relationships/hyperlink" Id="rId37" Target="https://darioamodei.com/post/we-must-pace-the-frontier" TargetMode="External" /><Relationship Type="http://schemas.openxmlformats.org/officeDocument/2006/relationships/hyperlink" Id="rId54" Target="https://mistral.ai/news/legacy-code-modernization" TargetMode="External" /><Relationship Type="http://schemas.openxmlformats.org/officeDocument/2006/relationships/hyperlink" Id="rId44" Target="https://mistral.ai/news/mistral-makes-sovereign-open-weight-ai-to-frontier" TargetMode="External" /><Relationship Type="http://schemas.openxmlformats.org/officeDocument/2006/relationships/hyperlink" Id="rId45" Target="https://mistral.ai/news/mistral-x-cloudera" TargetMode="External" /><Relationship Type="http://schemas.openxmlformats.org/officeDocument/2006/relationships/hyperlink" Id="rId35" Target="https://openai.com/index/navier-stokes-solution/" TargetMode="External" /><Relationship Type="http://schemas.openxmlformats.org/officeDocument/2006/relationships/hyperlink" Id="rId58" Target="https://x.com/AnthropicAI/status/2097679796687769689" TargetMode="External" /><Relationship Type="http://schemas.openxmlformats.org/officeDocument/2006/relationships/hyperlink" Id="rId59" Target="https://x.com/AnthropicAI/status/2097679799829307588" TargetMode="External" /><Relationship Type="http://schemas.openxmlformats.org/officeDocument/2006/relationships/hyperlink" Id="rId47" Target="https://x.com/AnthropicAI/status/2097762642958135398" TargetMode="External" /><Relationship Type="http://schemas.openxmlformats.org/officeDocument/2006/relationships/hyperlink" Id="rId46" Target="https://x.com/AnthropicAI/status/2098097512544444447" TargetMode="External" /><Relationship Type="http://schemas.openxmlformats.org/officeDocument/2006/relationships/hyperlink" Id="rId41" Target="https://x.com/ClementDelangue/status/2098790988034580852" TargetMode="External" /><Relationship Type="http://schemas.openxmlformats.org/officeDocument/2006/relationships/hyperlink" Id="rId49" Target="https://x.com/GoogleDeepMind/status/2097325048109384166" TargetMode="External" /><Relationship Type="http://schemas.openxmlformats.org/officeDocument/2006/relationships/hyperlink" Id="rId50" Target="https://x.com/GoogleDeepMind/status/2097325050919596469" TargetMode="External" /><Relationship Type="http://schemas.openxmlformats.org/officeDocument/2006/relationships/hyperlink" Id="rId51" Target="https://x.com/GoogleDeepMind/status/2097325054430200205" TargetMode="External" /><Relationship Type="http://schemas.openxmlformats.org/officeDocument/2006/relationships/hyperlink" Id="rId52" Target="https://x.com/GoogleDeepMind/status/2097325059140411626" TargetMode="External" /><Relationship Type="http://schemas.openxmlformats.org/officeDocument/2006/relationships/hyperlink" Id="rId48" Target="https://x.com/OpenAI/status/2097786616311840853" TargetMode="External" /><Relationship Type="http://schemas.openxmlformats.org/officeDocument/2006/relationships/hyperlink" Id="rId63" Target="https://x.com/OpenAI/status/2098118191029624911" TargetMode="External" /><Relationship Type="http://schemas.openxmlformats.org/officeDocument/2006/relationships/hyperlink" Id="rId64" Target="https://x.com/OpenAI/status/2098118248202215776" TargetMode="External" /><Relationship Type="http://schemas.openxmlformats.org/officeDocument/2006/relationships/hyperlink" Id="rId36" Target="https://x.com/Thom_Wolf/status/2097615465698713666" TargetMode="External" /><Relationship Type="http://schemas.openxmlformats.org/officeDocument/2006/relationships/hyperlink" Id="rId68" Target="https://x.com/Thom_Wolf/status/2097964582736155092" TargetMode="External" /><Relationship Type="http://schemas.openxmlformats.org/officeDocument/2006/relationships/hyperlink" Id="rId69" Target="https://x.com/Thom_Wolf/status/2097982062808428751" TargetMode="External" /><Relationship Type="http://schemas.openxmlformats.org/officeDocument/2006/relationships/hyperlink" Id="rId65" Target="https://x.com/arcprize/status/2098849962754978152" TargetMode="External" /><Relationship Type="http://schemas.openxmlformats.org/officeDocument/2006/relationships/hyperlink" Id="rId55" Target="https://x.com/cohere/status/2097410772355666393" TargetMode="External" /><Relationship Type="http://schemas.openxmlformats.org/officeDocument/2006/relationships/hyperlink" Id="rId56" Target="https://x.com/cohere/status/2097410774540886279" TargetMode="External" /><Relationship Type="http://schemas.openxmlformats.org/officeDocument/2006/relationships/hyperlink" Id="rId57" Target="https://x.com/cohere/status/2097410777804054741" TargetMode="External" /><Relationship Type="http://schemas.openxmlformats.org/officeDocument/2006/relationships/hyperlink" Id="rId67" Target="https://x.com/deepseek_ai/status/2097930608790167907" TargetMode="External" /><Relationship Type="http://schemas.openxmlformats.org/officeDocument/2006/relationships/hyperlink" Id="rId53" Target="https://x.com/demishassabis/status/2097341636472688674" TargetMode="External" /><Relationship Type="http://schemas.openxmlformats.org/officeDocument/2006/relationships/hyperlink" Id="rId40" Target="https://x.com/demishassabis/status/2098909516582490602" TargetMode="External" /><Relationship Type="http://schemas.openxmlformats.org/officeDocument/2006/relationships/hyperlink" Id="rId66" Target="https://x.com/fchollet/status/2098902564955930953" TargetMode="External" /><Relationship Type="http://schemas.openxmlformats.org/officeDocument/2006/relationships/hyperlink" Id="rId60" Target="https://x.com/jackclarkSF/status/2097684881849602166" TargetMode="External" /><Relationship Type="http://schemas.openxmlformats.org/officeDocument/2006/relationships/hyperlink" Id="rId61" Target="https://x.com/jackclarkSF/status/2097693654953627673" TargetMode="External" /><Relationship Type="http://schemas.openxmlformats.org/officeDocument/2006/relationships/hyperlink" Id="rId62" Target="https://x.com/jackclarkSF/status/2097693881831989536" TargetMode="External" /><Relationship Type="http://schemas.openxmlformats.org/officeDocument/2006/relationships/hyperlink" Id="rId38" Target="https://x.com/sama/status/2098811563415150910" TargetMode="External" /><Relationship Type="http://schemas.openxmlformats.org/officeDocument/2006/relationships/hyperlink" Id="rId39" Target="https://x.com/sama/status/2099348812305473766" TargetMode="External" /><Relationship Type="http://schemas.openxmlformats.org/officeDocument/2006/relationships/hyperlink" Id="rId43" Target="https://x.com/sama/status/20993520169886148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Frontier Labs Move to Pace AI—While Fighting Over Who Sets the Rules</dc:title>
  <dc:creator>AI Leaders Briefing</dc:creator>
  <cp:keywords/>
  <dcterms:created xsi:type="dcterms:W3CDTF">2026-09-14T20:17:16Z</dcterms:created>
  <dcterms:modified xsi:type="dcterms:W3CDTF">2026-09-14T20:17:16Z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2026-09-14</vt:lpwstr>
  </property>
</Properties>
</file>