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Frontier labs turn AI safety into a governance contest</w:t>
      </w:r>
    </w:p>
    <w:p>
      <w:pPr>
        <w:pStyle w:val="Author"/>
      </w:pPr>
      <w:r>
        <w:t xml:space="preserve">AI News Digest</w:t>
      </w:r>
    </w:p>
    <w:p>
      <w:pPr>
        <w:pStyle w:val="Date"/>
      </w:pPr>
      <w:r>
        <w:t xml:space="preserve">2026-09-13</w:t>
      </w:r>
    </w:p>
    <w:bookmarkStart w:id="43" w:name="X4533be674b0d89788d73fcc1be4ed5dae67ef8e"/>
    <w:p>
      <w:pPr>
        <w:pStyle w:val="Heading1"/>
      </w:pPr>
      <w:r>
        <w:t xml:space="preserve">Frontier labs turn AI safety into a governance contest</w:t>
      </w:r>
    </w:p>
    <w:p>
      <w:pPr>
        <w:pStyle w:val="FirstParagraph"/>
      </w:pPr>
      <w:r>
        <w:rPr>
          <w:iCs/>
          <w:i/>
        </w:rPr>
        <w:t xml:space="preserve">By AI News Digest • September 13, 2026</w:t>
      </w:r>
    </w:p>
    <w:p>
      <w:pPr>
        <w:pStyle w:val="BodyText"/>
      </w:pPr>
      <w:r>
        <w:t xml:space="preserve">Anthropic’s new frontier-pacing plan has won OpenAI’s backing while provoking a wider dispute over independent evaluators, geopolitical coordination, and regulatory capture. The same period also produced a new open-ended-invention benchmark, a flexible sparse-view CT method, and a useful signal about where enterprise AI value is accumulating.</w:t>
      </w:r>
    </w:p>
    <w:bookmarkStart w:id="22" w:name="the-main-signal"/>
    <w:p>
      <w:pPr>
        <w:pStyle w:val="Heading2"/>
      </w:pPr>
      <w:r>
        <w:t xml:space="preserve">The main signal</w:t>
      </w:r>
    </w:p>
    <w:bookmarkStart w:id="20" w:name="anthropic-makes-pacing-operational"/>
    <w:p>
      <w:pPr>
        <w:pStyle w:val="Heading3"/>
      </w:pPr>
      <w:r>
        <w:t xml:space="preserve">Anthropic makes</w:t>
      </w:r>
      <w:r>
        <w:t xml:space="preserve"> </w:t>
      </w:r>
      <w:r>
        <w:t xml:space="preserve">“</w:t>
      </w:r>
      <w:r>
        <w:t xml:space="preserve">pacing</w:t>
      </w:r>
      <w:r>
        <w:t xml:space="preserve">”</w:t>
      </w:r>
      <w:r>
        <w:t xml:space="preserve"> </w:t>
      </w:r>
      <w:r>
        <w:t xml:space="preserve">operational</w:t>
      </w:r>
    </w:p>
    <w:p>
      <w:pPr>
        <w:pStyle w:val="FirstParagraph"/>
      </w:pPr>
      <w:r>
        <w:t xml:space="preserve">Anthropic CEO Dario Amodei’s new plan defines</w:t>
      </w:r>
      <w:r>
        <w:t xml:space="preserve"> </w:t>
      </w:r>
      <w:r>
        <w:t xml:space="preserve">“</w:t>
      </w:r>
      <w:r>
        <w:t xml:space="preserve">pacing</w:t>
      </w:r>
      <w:r>
        <w:t xml:space="preserve">”</w:t>
      </w:r>
      <w:r>
        <w:t xml:space="preserve"> </w:t>
      </w:r>
      <w:r>
        <w:t xml:space="preserve">as slowing capability improvement without halting training or technical progress. It has three parts—embedded third-party evaluators, coordination among frontier firms in democratic countries, and global coordination—and Anthropic is unilaterally adopting the first. The evaluators would have ongoing, employee-like access to inspect safety practices and training pipelines, report incidents, and assess alignment; Anthropic says reviewers should have comparable tools and permissions to internal risk teams and be able to publish key findings without Anthropic’s editorial control, subject to narrow redactions. [1]</w:t>
      </w:r>
    </w:p>
    <w:p>
      <w:pPr>
        <w:pStyle w:val="BodyText"/>
      </w:pPr>
      <w:r>
        <w:t xml:space="preserve">OpenAI CEO Sam Altman endorsed employee-like access and said OpenAI will do the same. In a separate interview, he said OpenAI has been pausing training runs at new capability levels until it can make a safety case, with audits during and after runs; he also said alignment remains unsolved and that building a system outside human control is possible but not a risk OpenAI should accept. [2, 3] The notable change is that two frontier labs are now proposing an inspectable process, not only expressing concern about safety.</w:t>
      </w:r>
    </w:p>
    <w:bookmarkEnd w:id="20"/>
    <w:bookmarkStart w:id="21" w:name="X5c808fe39d551327b0c53ff83c5b815d6e9c6ee"/>
    <w:p>
      <w:pPr>
        <w:pStyle w:val="Heading3"/>
      </w:pPr>
      <w:r>
        <w:t xml:space="preserve">The proposal immediately became a fight over authority</w:t>
      </w:r>
    </w:p>
    <w:p>
      <w:pPr>
        <w:pStyle w:val="FirstParagraph"/>
      </w:pPr>
      <w:r>
        <w:t xml:space="preserve">Hugging Face responded by launching the Open Alignment Initiative and asking to participate in the embedded-evaluator program, arguing that alignment cannot be solved behind the closed doors of a few labs. [4] François Chollet said any oversight must be democratic and accountable, with national and international components, rather than an organization staffed and incentivized like the labs it monitors. [5] Cohere cofounder Aidan Gomez said third-party auditors would not solve the problem and that existing sectoral regulators should be empowered to regulate AI in their domains. [6] David Sacks supported voluntary pacing but warned the labs against seeking antitrust suspension, a cartel-like framework, or a regulatory process that supersedes product liability; he also questioned whether evaluator independence and the labs’ motives could be taken for granted. [7]</w:t>
      </w:r>
    </w:p>
    <w:p>
      <w:pPr>
        <w:pStyle w:val="BodyText"/>
      </w:pPr>
      <w:r>
        <w:t xml:space="preserve">Emad Mostaque’s critique makes the institutional test explicit: who appoints evaluators, what they can inspect, which findings they must publish, what happens when a model fails, and who can challenge the finding. [8] Gary Marcus, meanwhile, argues that the nearer-term problem is unreliable general-purpose agents connected to the internet and calls for recalling them until they can be shown safe, rather than imposing a broad frontier slowdown. [9] The debate is therefore moving beyond</w:t>
      </w:r>
      <w:r>
        <w:t xml:space="preserve"> </w:t>
      </w:r>
      <w:r>
        <w:t xml:space="preserve">“</w:t>
      </w:r>
      <w:r>
        <w:t xml:space="preserve">is AI dangerous?</w:t>
      </w:r>
      <w:r>
        <w:t xml:space="preserve">”</w:t>
      </w:r>
      <w:r>
        <w:t xml:space="preserve"> </w:t>
      </w:r>
      <w:r>
        <w:t xml:space="preserve">to two harder questions: which risks deserve intervention, and whether independent oversight can constrain the companies being overseen.</w:t>
      </w:r>
    </w:p>
    <w:p>
      <w:pPr>
        <w:pStyle w:val="BodyText"/>
      </w:pPr>
      <w:r>
        <w:t xml:space="preserve">The geopolitical design is part of the controversy. Amodei’s plan says democratic countries should preserve their lead over China while pacing, including through chip and semiconductor controls, anti-distillation measures, and stronger protection against model-weight theft. [1] That makes the proposal simultaneously a safety mechanism, an industrial-policy position, and a claim about who should control the frontier.</w:t>
      </w:r>
    </w:p>
    <w:bookmarkEnd w:id="21"/>
    <w:bookmarkEnd w:id="22"/>
    <w:bookmarkStart w:id="25" w:name="Xe373f4d095d55e923a336edce55f473f59bce4e"/>
    <w:p>
      <w:pPr>
        <w:pStyle w:val="Heading2"/>
      </w:pPr>
      <w:r>
        <w:t xml:space="preserve">Research shifts from answering to discovering</w:t>
      </w:r>
    </w:p>
    <w:bookmarkStart w:id="23" w:name="Xed032228eb524876ccff15e4cb73d7a77204034"/>
    <w:p>
      <w:pPr>
        <w:pStyle w:val="Heading3"/>
      </w:pPr>
      <w:r>
        <w:t xml:space="preserve">ARC-AGI-4 will target open-ended invention</w:t>
      </w:r>
    </w:p>
    <w:p>
      <w:pPr>
        <w:pStyle w:val="FirstParagraph"/>
      </w:pPr>
      <w:r>
        <w:t xml:space="preserve">ARC Prize announced ARC-AGI-4 as a benchmark for autonomous open-ended innovation, saying humans still significantly outperform AI at this capability and framing open source as the basis for a shared research target. It also warned that coordinated efforts to reduce openness or concentrate access to frontier knowledge would undermine a positive-sum future. [10] François Chollet said the team has spent about a year exploring the idea and remains on track to release ARC 4 in the first quarter of next year. [11] The benchmark’s significance is its choice of target: not another measure of answer production, but whether systems can contribute to invention across domains.</w:t>
      </w:r>
    </w:p>
    <w:bookmarkEnd w:id="23"/>
    <w:bookmarkStart w:id="24" w:name="Xd1659d994882c1579ac9f3c5e5a2edbdaaf1d8f"/>
    <w:p>
      <w:pPr>
        <w:pStyle w:val="Heading3"/>
      </w:pPr>
      <w:r>
        <w:t xml:space="preserve">A neural operator attacks a practical bottleneck in sparse-view CT</w:t>
      </w:r>
    </w:p>
    <w:p>
      <w:pPr>
        <w:pStyle w:val="FirstParagraph"/>
      </w:pPr>
      <w:r>
        <w:t xml:space="preserve">An ECCV paper introduces Computed Tomography neural Operator (CTO) for sparse-view CT, where fewer X-ray projections reduce dose and scan time but make reconstruction ill-posed. Its abstract says CTO learns in continuous function space so one model can handle different sampling rates without retraining, using dual-domain operators and rotation-equivariant convolutions; it reports gains of more than 3.4 dB PSNR over CNNs and 500× faster inference than state-of-the-art diffusion methods, with an average 3 dB gain. [12, 13] If those abstract-level results hold under external replication, the practical signal is adaptability across acquisition protocols rather than a separate model for each clinical setup.</w:t>
      </w:r>
    </w:p>
    <w:bookmarkEnd w:id="24"/>
    <w:bookmarkEnd w:id="25"/>
    <w:bookmarkStart w:id="42" w:name="Xef0d92a5ee8ec2a0bd29720c4d8a092b24f8b8e"/>
    <w:p>
      <w:pPr>
        <w:pStyle w:val="Heading2"/>
      </w:pPr>
      <w:r>
        <w:t xml:space="preserve">Enterprise AI’s moat moves into deployment</w:t>
      </w:r>
    </w:p>
    <w:bookmarkStart w:id="26" w:name="X555f0b3931e89bbe147dfee12db29fa49fde654"/>
    <w:p>
      <w:pPr>
        <w:pStyle w:val="Heading3"/>
      </w:pPr>
      <w:r>
        <w:t xml:space="preserve">Forward-deployed engineers are being asked to turn messy customer work into product</w:t>
      </w:r>
    </w:p>
    <w:p>
      <w:pPr>
        <w:pStyle w:val="FirstParagraph"/>
      </w:pPr>
      <w:r>
        <w:t xml:space="preserve">A new Latent.Space essay argues that labs, startups, and private-equity firms are hiring engineers to work inside customer operations, while the same</w:t>
      </w:r>
      <w:r>
        <w:t xml:space="preserve"> </w:t>
      </w:r>
      <w:r>
        <w:t xml:space="preserve">“</w:t>
      </w:r>
      <w:r>
        <w:t xml:space="preserve">forward deployed</w:t>
      </w:r>
      <w:r>
        <w:t xml:space="preserve">”</w:t>
      </w:r>
      <w:r>
        <w:t xml:space="preserve"> </w:t>
      </w:r>
      <w:r>
        <w:t xml:space="preserve">title now covers sales engineering, consulting, and product-development roles with different incentives. [14] Its central thesis is that the low-hanging software opportunities are gone; the remaining value sits in undocumented, customer-specific workflows, and an FDE team only creates a product advantage if it feeds those lessons back into the platform rather than becoming a services organization. [14]</w:t>
      </w:r>
    </w:p>
    <w:p>
      <w:pPr>
        <w:pStyle w:val="BodyText"/>
      </w:pPr>
      <w:r>
        <w:t xml:space="preserve">For enterprise AI, the proposed moat is accumulated, current, verified knowledge of how a vertical operates—not the model itself. The essay’s financial-services example treats provenance as a correctness requirement: misunderstandings should surface as system failures, and repeated deployment gaps should determine what the platform generalizes next. [14]</w:t>
      </w:r>
    </w:p>
    <w:p>
      <w:r>
        <w:pict>
          <v:rect style="width:0;height:1.5pt" o:hralign="center" o:hrstd="t" o:hr="t"/>
        </w:pict>
      </w:r>
    </w:p>
    <w:bookmarkEnd w:id="26"/>
    <w:bookmarkStart w:id="4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1"/>
        </w:numPr>
        <w:pStyle w:val="Compact"/>
      </w:pPr>
      <w:hyperlink r:id="rId27">
        <w:r>
          <w:rPr>
            <w:rStyle w:val="Hyperlink"/>
          </w:rPr>
          <w:t xml:space="preserve">Dario Amodei — We Must Pace the Frontier</w:t>
        </w:r>
      </w:hyperlink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@sama</w:t>
        </w:r>
      </w:hyperlink>
    </w:p>
    <w:p>
      <w:pPr>
        <w:numPr>
          <w:ilvl w:val="0"/>
          <w:numId w:val="1001"/>
        </w:numPr>
        <w:pStyle w:val="Compact"/>
      </w:pPr>
      <w:hyperlink r:id="rId29">
        <w:r>
          <w:rPr>
            <w:rStyle w:val="Hyperlink"/>
          </w:rPr>
          <w:t xml:space="preserve">Altman: AI Beyond Human Control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Absolutely</w:t>
        </w:r>
        <w:r>
          <w:rPr>
            <w:rStyle w:val="Hyperlink"/>
          </w:rPr>
          <w:t xml:space="preserve">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Possible, Vows Safeguards | Titans and Disruptors</w:t>
        </w:r>
      </w:hyperlink>
    </w:p>
    <w:p>
      <w:pPr>
        <w:numPr>
          <w:ilvl w:val="0"/>
          <w:numId w:val="1001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@ClementDelangue</w:t>
        </w:r>
      </w:hyperlink>
    </w:p>
    <w:p>
      <w:pPr>
        <w:numPr>
          <w:ilvl w:val="0"/>
          <w:numId w:val="1001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@fchollet</w:t>
        </w:r>
      </w:hyperlink>
    </w:p>
    <w:p>
      <w:pPr>
        <w:numPr>
          <w:ilvl w:val="0"/>
          <w:numId w:val="1001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@aidangomez</w:t>
        </w:r>
      </w:hyperlink>
    </w:p>
    <w:p>
      <w:pPr>
        <w:numPr>
          <w:ilvl w:val="0"/>
          <w:numId w:val="1001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@DavidSacks</w:t>
        </w:r>
      </w:hyperlink>
    </w:p>
    <w:p>
      <w:pPr>
        <w:numPr>
          <w:ilvl w:val="0"/>
          <w:numId w:val="1001"/>
        </w:numPr>
        <w:pStyle w:val="Compact"/>
      </w:pPr>
      <w:hyperlink r:id="rId34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@EMostaque</w:t>
        </w:r>
      </w:hyperlink>
    </w:p>
    <w:p>
      <w:pPr>
        <w:numPr>
          <w:ilvl w:val="0"/>
          <w:numId w:val="1001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@GaryMarcus</w:t>
        </w:r>
      </w:hyperlink>
    </w:p>
    <w:p>
      <w:pPr>
        <w:numPr>
          <w:ilvl w:val="0"/>
          <w:numId w:val="1001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@arcprize</w:t>
        </w:r>
      </w:hyperlink>
    </w:p>
    <w:p>
      <w:pPr>
        <w:numPr>
          <w:ilvl w:val="0"/>
          <w:numId w:val="1001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@fchollet</w:t>
        </w:r>
      </w:hyperlink>
    </w:p>
    <w:p>
      <w:pPr>
        <w:numPr>
          <w:ilvl w:val="0"/>
          <w:numId w:val="1001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@AnimaAnandkumar</w:t>
        </w:r>
      </w:hyperlink>
    </w:p>
    <w:p>
      <w:pPr>
        <w:numPr>
          <w:ilvl w:val="0"/>
          <w:numId w:val="1001"/>
        </w:numPr>
        <w:pStyle w:val="Compact"/>
      </w:pPr>
      <w:hyperlink r:id="rId39">
        <w:r>
          <w:rPr>
            <w:rStyle w:val="Hyperlink"/>
          </w:rPr>
          <w:t xml:space="preserve">Resolution-Agnostic Neural Operators for Multi-Rate Sparse-View CT</w:t>
        </w:r>
      </w:hyperlink>
    </w:p>
    <w:p>
      <w:pPr>
        <w:numPr>
          <w:ilvl w:val="0"/>
          <w:numId w:val="1001"/>
        </w:numPr>
        <w:pStyle w:val="Compact"/>
      </w:pPr>
      <w:hyperlink r:id="rId40">
        <w:r>
          <w:rPr>
            <w:rStyle w:val="Hyperlink"/>
          </w:rPr>
          <w:t xml:space="preserve">The Rise of the Forward Deployed Engineer — and How To Do the Job Right</w:t>
        </w:r>
      </w:hyperlink>
    </w:p>
    <w:bookmarkEnd w:id="41"/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https://arxiv.org/abs/2512.12236" TargetMode="External" /><Relationship Type="http://schemas.openxmlformats.org/officeDocument/2006/relationships/hyperlink" Id="rId27" Target="https://darioamodei.com/post/we-must-pace-the-frontier" TargetMode="External" /><Relationship Type="http://schemas.openxmlformats.org/officeDocument/2006/relationships/hyperlink" Id="rId40" Target="https://www.latent.space/p/forward-deployed-engineer-best-practices" TargetMode="External" /><Relationship Type="http://schemas.openxmlformats.org/officeDocument/2006/relationships/hyperlink" Id="rId29" Target="https://www.youtube.com/watch?v=2my-NU6LuCM" TargetMode="External" /><Relationship Type="http://schemas.openxmlformats.org/officeDocument/2006/relationships/hyperlink" Id="rId38" Target="https://x.com/AnimaAnandkumar/status/2098932753148572076" TargetMode="External" /><Relationship Type="http://schemas.openxmlformats.org/officeDocument/2006/relationships/hyperlink" Id="rId30" Target="https://x.com/ClementDelangue/status/2098790988034580852" TargetMode="External" /><Relationship Type="http://schemas.openxmlformats.org/officeDocument/2006/relationships/hyperlink" Id="rId33" Target="https://x.com/DavidSacks/status/2098973625252708460" TargetMode="External" /><Relationship Type="http://schemas.openxmlformats.org/officeDocument/2006/relationships/hyperlink" Id="rId35" Target="https://x.com/GaryMarcus/status/2098965104188600607" TargetMode="External" /><Relationship Type="http://schemas.openxmlformats.org/officeDocument/2006/relationships/hyperlink" Id="rId32" Target="https://x.com/aidangomez/status/2098840317776609311" TargetMode="External" /><Relationship Type="http://schemas.openxmlformats.org/officeDocument/2006/relationships/hyperlink" Id="rId36" Target="https://x.com/arcprize/status/2098849962754978152" TargetMode="External" /><Relationship Type="http://schemas.openxmlformats.org/officeDocument/2006/relationships/hyperlink" Id="rId31" Target="https://x.com/fchollet/status/2098901026514559194" TargetMode="External" /><Relationship Type="http://schemas.openxmlformats.org/officeDocument/2006/relationships/hyperlink" Id="rId37" Target="https://x.com/fchollet/status/2098902564955930953" TargetMode="External" /><Relationship Type="http://schemas.openxmlformats.org/officeDocument/2006/relationships/hyperlink" Id="rId34" Target="https://x.com/i/article/2098893948710232069" TargetMode="External" /><Relationship Type="http://schemas.openxmlformats.org/officeDocument/2006/relationships/hyperlink" Id="rId28" Target="https://x.com/sama/status/20988115634151509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arxiv.org/abs/2512.12236" TargetMode="External" /><Relationship Type="http://schemas.openxmlformats.org/officeDocument/2006/relationships/hyperlink" Id="rId27" Target="https://darioamodei.com/post/we-must-pace-the-frontier" TargetMode="External" /><Relationship Type="http://schemas.openxmlformats.org/officeDocument/2006/relationships/hyperlink" Id="rId40" Target="https://www.latent.space/p/forward-deployed-engineer-best-practices" TargetMode="External" /><Relationship Type="http://schemas.openxmlformats.org/officeDocument/2006/relationships/hyperlink" Id="rId29" Target="https://www.youtube.com/watch?v=2my-NU6LuCM" TargetMode="External" /><Relationship Type="http://schemas.openxmlformats.org/officeDocument/2006/relationships/hyperlink" Id="rId38" Target="https://x.com/AnimaAnandkumar/status/2098932753148572076" TargetMode="External" /><Relationship Type="http://schemas.openxmlformats.org/officeDocument/2006/relationships/hyperlink" Id="rId30" Target="https://x.com/ClementDelangue/status/2098790988034580852" TargetMode="External" /><Relationship Type="http://schemas.openxmlformats.org/officeDocument/2006/relationships/hyperlink" Id="rId33" Target="https://x.com/DavidSacks/status/2098973625252708460" TargetMode="External" /><Relationship Type="http://schemas.openxmlformats.org/officeDocument/2006/relationships/hyperlink" Id="rId35" Target="https://x.com/GaryMarcus/status/2098965104188600607" TargetMode="External" /><Relationship Type="http://schemas.openxmlformats.org/officeDocument/2006/relationships/hyperlink" Id="rId32" Target="https://x.com/aidangomez/status/2098840317776609311" TargetMode="External" /><Relationship Type="http://schemas.openxmlformats.org/officeDocument/2006/relationships/hyperlink" Id="rId36" Target="https://x.com/arcprize/status/2098849962754978152" TargetMode="External" /><Relationship Type="http://schemas.openxmlformats.org/officeDocument/2006/relationships/hyperlink" Id="rId31" Target="https://x.com/fchollet/status/2098901026514559194" TargetMode="External" /><Relationship Type="http://schemas.openxmlformats.org/officeDocument/2006/relationships/hyperlink" Id="rId37" Target="https://x.com/fchollet/status/2098902564955930953" TargetMode="External" /><Relationship Type="http://schemas.openxmlformats.org/officeDocument/2006/relationships/hyperlink" Id="rId34" Target="https://x.com/i/article/2098893948710232069" TargetMode="External" /><Relationship Type="http://schemas.openxmlformats.org/officeDocument/2006/relationships/hyperlink" Id="rId28" Target="https://x.com/sama/status/20988115634151509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Frontier labs turn AI safety into a governance contest</dc:title>
  <dc:creator>AI News Digest</dc:creator>
  <cp:keywords/>
  <dcterms:created xsi:type="dcterms:W3CDTF">2026-09-21T21:15:28Z</dcterms:created>
  <dcterms:modified xsi:type="dcterms:W3CDTF">2026-09-21T21:15:28Z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2026-09-13</vt:lpwstr>
  </property>
</Properties>
</file>