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Gemini 3.8 and Muse Spark 1.3 Reset the Frontier’s Cost Curve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2026-09-03</w:t>
      </w:r>
    </w:p>
    <w:bookmarkStart w:id="50" w:name="X97629fe7faedb542a972b054a82985d96aa7c6b"/>
    <w:p>
      <w:pPr>
        <w:pStyle w:val="Heading1"/>
      </w:pPr>
      <w:r>
        <w:t xml:space="preserve">Gemini 3.8 and Muse Spark 1.3 Reset the Frontier’s Cost Curve</w:t>
      </w:r>
    </w:p>
    <w:p>
      <w:pPr>
        <w:pStyle w:val="FirstParagraph"/>
      </w:pPr>
      <w:r>
        <w:rPr>
          <w:iCs/>
          <w:i/>
        </w:rPr>
        <w:t xml:space="preserve">By AI High Signal Digest • September 3, 2026</w:t>
      </w:r>
    </w:p>
    <w:p>
      <w:pPr>
        <w:pStyle w:val="BodyText"/>
      </w:pPr>
      <w:r>
        <w:t xml:space="preserve">Google’s Gemini 3.8 launch and Meta’s Muse Spark 1.3 make agentic capability cheaper and more accessible, while the Astra recurrent-depth debate exposes a parallel oversight problem.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Model competition is shifting from isolated benchmark wins to cheap, long-running agents—and architecture choices now carry an oversight cost.</w:t>
      </w:r>
      <w:r>
        <w:t xml:space="preserve"> </w:t>
      </w:r>
      <w:r>
        <w:t xml:space="preserve">[1, 2, 3]</w:t>
      </w:r>
    </w:p>
    <w:p>
      <w:pPr>
        <w:pStyle w:val="BodyText"/>
      </w:pPr>
      <w:r>
        <w:rPr>
          <w:bCs/>
          <w:b/>
        </w:rPr>
        <w:t xml:space="preserve">Gemini 3.8 makes agentic capability cheaper and more deployable.</w:t>
      </w:r>
      <w:r>
        <w:t xml:space="preserve"> </w:t>
      </w:r>
      <w:r>
        <w:t xml:space="preserve">Google’s third Flash release in six weeks pairs Gemini 3.8 Flash—aimed at software engineering, agentic workflows, and multi-step reasoning—with Flash Cyber for vulnerability discovery and patching. Flash costs $0.75/$3.75 per million input/output tokens through 2026, then doubles; Google reports 54.9% on HLE-Verified and says it outperforms most larger models on DeepSWE. [1] Flash Cyber exceeds 70% on Google’s internal 20-language vulnerability test and posts 47.2% on CWE-Bench versus 47.8% for a leading frontier model; Google says Chrome got 2.6× more correct patches than much larger commercial models. Flash is broadly available, while Cyber is prioritized for trusted defenders through Fairwind. [1]</w:t>
      </w:r>
    </w:p>
    <w:p>
      <w:pPr>
        <w:pStyle w:val="BodyText"/>
      </w:pPr>
      <w:r>
        <w:rPr>
          <w:bCs/>
          <w:b/>
        </w:rPr>
        <w:t xml:space="preserve">Meta’s Muse Spark 1.3 makes cost efficiency the headline.</w:t>
      </w:r>
      <w:r>
        <w:t xml:space="preserve"> </w:t>
      </w:r>
      <w:r>
        <w:t xml:space="preserve">The available xhigh variant scores 61 on Artificial Analysis’ Intelligence Index, up four points from 1.2; partner-preview max scores 62. xhigh improves Tau3 Banking from 35% to 47%, Terminal-Bench from 80% to 85%, and GDPval from 1,615 to 1,709 Elo. [2] It costs $0.55 per Intelligence Index task versus $0.94–$0.95 for cited peers at unchanged $1.25/$4.25 token pricing, with a 1M-token context and API/Muse Code availability. AA-LCR fell four points, so the gains are not universal. [2]</w:t>
      </w:r>
    </w:p>
    <w:p>
      <w:pPr>
        <w:pStyle w:val="BodyText"/>
      </w:pPr>
      <w:r>
        <w:rPr>
          <w:bCs/>
          <w:b/>
        </w:rPr>
        <w:t xml:space="preserve">Astra’s recurrent-depth story is now an oversight dispute.</w:t>
      </w:r>
      <w:r>
        <w:t xml:space="preserve"> </w:t>
      </w:r>
      <w:r>
        <w:t xml:space="preserve">An OpenAI post says current frontier graph depth, including Astra, is within 2× GPT-4 and that OpenAI preserves chain-of-thought monitoring, while calling it fragile and worsening. [4] Ryan Greenblatt says Astra reportedly shifts reasoning into activations and calls for architectural disclosure and independent assessment because the details and monitorability effects remain unknown. [3] One technical analysis says recurrence does not inherently speed training or inference; the plausible benefits are storage and adaptive compute. [5]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The bottleneck is shifting from simply adding parameters to allocating compute and measuring long-running behavior.</w:t>
      </w:r>
      <w:r>
        <w:t xml:space="preserve"> </w:t>
      </w:r>
      <w:r>
        <w:t xml:space="preserve">[6, 7]</w:t>
      </w:r>
    </w:p>
    <w:p>
      <w:pPr>
        <w:pStyle w:val="BodyText"/>
      </w:pPr>
      <w:r>
        <w:rPr>
          <w:bCs/>
          <w:b/>
        </w:rPr>
        <w:t xml:space="preserve">SMELT</w:t>
      </w:r>
      <w:r>
        <w:t xml:space="preserve"> </w:t>
      </w:r>
      <w:r>
        <w:t xml:space="preserve">loops the middle layers of a sparse MoE twice while matching FLOPs, non-embedding parameters, and KV cache. Across four sizes up to 54B, it reports 6.8–18.0% fewer training FLOPs on the compute-optimal frontier. [6]</w:t>
      </w:r>
    </w:p>
    <w:p>
      <w:pPr>
        <w:pStyle w:val="BodyText"/>
      </w:pPr>
      <w:r>
        <w:rPr>
          <w:bCs/>
          <w:b/>
        </w:rPr>
        <w:t xml:space="preserve">Long-horizon evaluations expose harness effects.</w:t>
      </w:r>
      <w:r>
        <w:t xml:space="preserve"> </w:t>
      </w:r>
      <w:r>
        <w:t xml:space="preserve">FrontierSWE v2 tests autonomous coding for up to 20 hours and puts Fable 5.1 more than 24 points ahead. Its authors say standard Codex and Claude Code harnesses handicap long-horizon work; Proximus improved scores and working time. FrontierHarness likewise found the same model, tasks, and runtime produced 50–67% pass rates and $1.05–$18.34 cost per pass across harnesses. [8, 9, 7]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Usable AI is moving into local execution and transaction workflows, not just chat interfaces.</w:t>
      </w:r>
      <w:r>
        <w:t xml:space="preserve"> </w:t>
      </w:r>
      <w:r>
        <w:t xml:space="preserve">[10, 11]</w:t>
      </w:r>
    </w:p>
    <w:p>
      <w:pPr>
        <w:pStyle w:val="BodyText"/>
      </w:pPr>
      <w:r>
        <w:t xml:space="preserve">Perplexity open-sourced</w:t>
      </w:r>
      <w:r>
        <w:t xml:space="preserve"> </w:t>
      </w:r>
      <w:r>
        <w:rPr>
          <w:bCs/>
          <w:b/>
        </w:rPr>
        <w:t xml:space="preserve">Lily</w:t>
      </w:r>
      <w:r>
        <w:t xml:space="preserve">, a Qwen3.6-35B-A3B engine for hybrid inference on Apple silicon. On an M5 Max, it reported 1.23× higher prefill and 1.35× higher decode throughput than MLX-LM with effectively unchanged quality. [10, 12]</w:t>
      </w:r>
    </w:p>
    <w:p>
      <w:pPr>
        <w:pStyle w:val="BodyText"/>
      </w:pPr>
      <w:r>
        <w:t xml:space="preserve">Anthropic open-sourced</w:t>
      </w:r>
      <w:r>
        <w:t xml:space="preserve"> </w:t>
      </w:r>
      <w:r>
        <w:rPr>
          <w:bCs/>
          <w:b/>
        </w:rPr>
        <w:t xml:space="preserve">Claude Commerce Agents</w:t>
      </w:r>
      <w:r>
        <w:t xml:space="preserve">, a blueprint with shopping and merchant agents, four vertical demos, and a Claude Code backend plugin. ClaudeDev reports carts up to 35% larger and shoppers 60% more likely to complete purchases. [11, 13, 14]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The AI stack is being reorganized around where inference runs and who can still fund open frontier experiments.</w:t>
      </w:r>
      <w:r>
        <w:t xml:space="preserve"> </w:t>
      </w:r>
      <w:r>
        <w:t xml:space="preserve">[15, 16]</w:t>
      </w:r>
    </w:p>
    <w:p>
      <w:pPr>
        <w:pStyle w:val="BodyText"/>
      </w:pPr>
      <w:r>
        <w:t xml:space="preserve">Together AI, Equinix, and NVIDIA launched</w:t>
      </w:r>
      <w:r>
        <w:t xml:space="preserve"> </w:t>
      </w:r>
      <w:r>
        <w:rPr>
          <w:bCs/>
          <w:b/>
        </w:rPr>
        <w:t xml:space="preserve">Equinix Inference Exchange</w:t>
      </w:r>
      <w:r>
        <w:t xml:space="preserve">, an open-model platform with inference edges colocated in Equinix data centers near enterprise data and applications. [15, 17]</w:t>
      </w:r>
    </w:p>
    <w:p>
      <w:pPr>
        <w:pStyle w:val="BodyText"/>
      </w:pPr>
      <w:r>
        <w:t xml:space="preserve">Open Athena began training</w:t>
      </w:r>
      <w:r>
        <w:t xml:space="preserve"> </w:t>
      </w:r>
      <w:r>
        <w:rPr>
          <w:bCs/>
          <w:b/>
        </w:rPr>
        <w:t xml:space="preserve">Marin</w:t>
      </w:r>
      <w:r>
        <w:t xml:space="preserve">, a 535B-parameter, 23B-active MoE on 18T tokens; its code, training logs, and checkpoints are public. The run was 13% complete, with CoreWeave compute funded by the Jen-Hsun and Lori Huang Foundation. [16, 18]</w:t>
      </w:r>
    </w:p>
    <w:bookmarkEnd w:id="23"/>
    <w:bookmarkStart w:id="24" w:name="policy-regulation"/>
    <w:p>
      <w:pPr>
        <w:pStyle w:val="Heading2"/>
      </w:pPr>
      <w:r>
        <w:t xml:space="preserve">Policy &amp; Regulation</w:t>
      </w:r>
    </w:p>
    <w:p>
      <w:pPr>
        <w:pStyle w:val="FirstParagraph"/>
      </w:pPr>
      <w:r>
        <w:rPr>
          <w:iCs/>
          <w:i/>
        </w:rPr>
        <w:t xml:space="preserve">Why it matters: AI access for children is now a citywide policy choice rather than merely a classroom guideline.</w:t>
      </w:r>
      <w:r>
        <w:t xml:space="preserve"> </w:t>
      </w:r>
      <w:r>
        <w:t xml:space="preserve">[19, 20]</w:t>
      </w:r>
    </w:p>
    <w:p>
      <w:pPr>
        <w:pStyle w:val="BodyText"/>
      </w:pPr>
      <w:r>
        <w:t xml:space="preserve">New York City Public Schools will ban student use of generative AI from pre-K through eighth grade for the 2026–27 school year, affecting more than 600,000 students; the policy also limits screen time for younger students and adds AI-literacy lessons for high-schoolers. [19, 20]</w:t>
      </w:r>
    </w:p>
    <w:bookmarkEnd w:id="24"/>
    <w:bookmarkStart w:id="49" w:name="quick-takes"/>
    <w:p>
      <w:pPr>
        <w:pStyle w:val="Heading2"/>
      </w:pPr>
      <w:r>
        <w:t xml:space="preserve">Quick Takes</w:t>
      </w:r>
    </w:p>
    <w:p>
      <w:pPr>
        <w:pStyle w:val="FirstParagraph"/>
      </w:pPr>
      <w:r>
        <w:rPr>
          <w:iCs/>
          <w:i/>
        </w:rPr>
        <w:t xml:space="preserve">Why it matters: Smaller releases are reinforcing the same shift toward cheaper open models, multimodality, and better agent runtimes.</w:t>
      </w:r>
      <w:r>
        <w:t xml:space="preserve"> </w:t>
      </w:r>
      <w:r>
        <w:t xml:space="preserve">[21, 22, 23]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GLM-5.3 Flash:</w:t>
      </w:r>
      <w:r>
        <w:t xml:space="preserve"> </w:t>
      </w:r>
      <w:r>
        <w:t xml:space="preserve">Ox Alpha ranks #8 among open-weight models on the Vals Index, six places behind GLM-5.3 at roughly 18× lower cost. [21]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Wan 3.0:</w:t>
      </w:r>
      <w:r>
        <w:t xml:space="preserve"> </w:t>
      </w:r>
      <w:r>
        <w:t xml:space="preserve">Alibaba’s video model ranks #3 in Image-to-Video Arena at 1,481 points, up 53 points from Wan 2.7, with a 57% win rate. [22]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Cline:</w:t>
      </w:r>
      <w:r>
        <w:t xml:space="preserve"> </w:t>
      </w:r>
      <w:r>
        <w:t xml:space="preserve">The company says its SDK-harness migration covered 11 million users and cut task mistake rates from 6.34% to 0.62%. [23]</w:t>
      </w:r>
    </w:p>
    <w:p>
      <w:r>
        <w:pict>
          <v:rect style="width:0;height:1.5pt" o:hralign="center" o:hrstd="t" o:hr="t"/>
        </w:pict>
      </w:r>
    </w:p>
    <w:bookmarkStart w:id="48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@GoogleAIStudio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@ArtificialAnlys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@RyanGreenblatt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@merettm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@eliebakouch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@iScienceLuvr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@guanlan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@nrehiew_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@nrehiew_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@perplexity_ai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@ClaudeDevs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@perplexity_ai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@ClaudeDevs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@ClaudeDevs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@togethercompute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@TheTuringPost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@vipulved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@percyliang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@TheRundownAI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@ABC7NY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@ValsAI</w:t>
        </w:r>
      </w:hyperlink>
    </w:p>
    <w:p>
      <w:pPr>
        <w:numPr>
          <w:ilvl w:val="0"/>
          <w:numId w:val="1002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@arena</w:t>
        </w:r>
      </w:hyperlink>
    </w:p>
    <w:p>
      <w:pPr>
        <w:numPr>
          <w:ilvl w:val="0"/>
          <w:numId w:val="1002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@cline</w:t>
        </w:r>
      </w:hyperlink>
    </w:p>
    <w:bookmarkEnd w:id="48"/>
    <w:bookmarkEnd w:id="49"/>
    <w:bookmarkEnd w:id="5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44" Target="https://x.com/ABC7NY/status/2095176814666620942" TargetMode="External" /><Relationship Type="http://schemas.openxmlformats.org/officeDocument/2006/relationships/hyperlink" Id="rId26" Target="https://x.com/ArtificialAnlys/status/2095247787277553929" TargetMode="External" /><Relationship Type="http://schemas.openxmlformats.org/officeDocument/2006/relationships/hyperlink" Id="rId35" Target="https://x.com/ClaudeDevs/status/2095233745167282602" TargetMode="External" /><Relationship Type="http://schemas.openxmlformats.org/officeDocument/2006/relationships/hyperlink" Id="rId38" Target="https://x.com/ClaudeDevs/status/2095233746366808420" TargetMode="External" /><Relationship Type="http://schemas.openxmlformats.org/officeDocument/2006/relationships/hyperlink" Id="rId37" Target="https://x.com/ClaudeDevs/status/2095233747562180849" TargetMode="External" /><Relationship Type="http://schemas.openxmlformats.org/officeDocument/2006/relationships/hyperlink" Id="rId27" Target="https://x.com/RyanGreenblatt/status/2094996656186081642" TargetMode="External" /><Relationship Type="http://schemas.openxmlformats.org/officeDocument/2006/relationships/hyperlink" Id="rId43" Target="https://x.com/TheRundownAI/status/2095206369821409448" TargetMode="External" /><Relationship Type="http://schemas.openxmlformats.org/officeDocument/2006/relationships/hyperlink" Id="rId40" Target="https://x.com/TheTuringPost/status/2095295055762186416" TargetMode="External" /><Relationship Type="http://schemas.openxmlformats.org/officeDocument/2006/relationships/hyperlink" Id="rId45" Target="https://x.com/ValsAI/status/2095315958302904418" TargetMode="External" /><Relationship Type="http://schemas.openxmlformats.org/officeDocument/2006/relationships/hyperlink" Id="rId46" Target="https://x.com/arena/status/2095310438435369178" TargetMode="External" /><Relationship Type="http://schemas.openxmlformats.org/officeDocument/2006/relationships/hyperlink" Id="rId47" Target="https://x.com/cline/status/2095237408375845365" TargetMode="External" /><Relationship Type="http://schemas.openxmlformats.org/officeDocument/2006/relationships/hyperlink" Id="rId29" Target="https://x.com/eliebakouch/status/2094973682858733650" TargetMode="External" /><Relationship Type="http://schemas.openxmlformats.org/officeDocument/2006/relationships/hyperlink" Id="rId31" Target="https://x.com/guanlan/status/2095179765355540575" TargetMode="External" /><Relationship Type="http://schemas.openxmlformats.org/officeDocument/2006/relationships/hyperlink" Id="rId25" Target="https://x.com/i/article/2095148113530855424" TargetMode="External" /><Relationship Type="http://schemas.openxmlformats.org/officeDocument/2006/relationships/hyperlink" Id="rId30" Target="https://x.com/iScienceLuvr/status/2095026196698345481" TargetMode="External" /><Relationship Type="http://schemas.openxmlformats.org/officeDocument/2006/relationships/hyperlink" Id="rId28" Target="https://x.com/merettm/status/2095023204993490967" TargetMode="External" /><Relationship Type="http://schemas.openxmlformats.org/officeDocument/2006/relationships/hyperlink" Id="rId32" Target="https://x.com/nrehiew_/status/2095237494510157955" TargetMode="External" /><Relationship Type="http://schemas.openxmlformats.org/officeDocument/2006/relationships/hyperlink" Id="rId33" Target="https://x.com/nrehiew_/status/2095242466014417034" TargetMode="External" /><Relationship Type="http://schemas.openxmlformats.org/officeDocument/2006/relationships/hyperlink" Id="rId42" Target="https://x.com/percyliang/status/2095255747487740401" TargetMode="External" /><Relationship Type="http://schemas.openxmlformats.org/officeDocument/2006/relationships/hyperlink" Id="rId34" Target="https://x.com/perplexity_ai/status/2095241544383226274" TargetMode="External" /><Relationship Type="http://schemas.openxmlformats.org/officeDocument/2006/relationships/hyperlink" Id="rId36" Target="https://x.com/perplexity_ai/status/2095241592399606119" TargetMode="External" /><Relationship Type="http://schemas.openxmlformats.org/officeDocument/2006/relationships/hyperlink" Id="rId39" Target="https://x.com/togethercompute/status/2095214648991842690" TargetMode="External" /><Relationship Type="http://schemas.openxmlformats.org/officeDocument/2006/relationships/hyperlink" Id="rId41" Target="https://x.com/vipulved/status/209521702163836156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4" Target="https://x.com/ABC7NY/status/2095176814666620942" TargetMode="External" /><Relationship Type="http://schemas.openxmlformats.org/officeDocument/2006/relationships/hyperlink" Id="rId26" Target="https://x.com/ArtificialAnlys/status/2095247787277553929" TargetMode="External" /><Relationship Type="http://schemas.openxmlformats.org/officeDocument/2006/relationships/hyperlink" Id="rId35" Target="https://x.com/ClaudeDevs/status/2095233745167282602" TargetMode="External" /><Relationship Type="http://schemas.openxmlformats.org/officeDocument/2006/relationships/hyperlink" Id="rId38" Target="https://x.com/ClaudeDevs/status/2095233746366808420" TargetMode="External" /><Relationship Type="http://schemas.openxmlformats.org/officeDocument/2006/relationships/hyperlink" Id="rId37" Target="https://x.com/ClaudeDevs/status/2095233747562180849" TargetMode="External" /><Relationship Type="http://schemas.openxmlformats.org/officeDocument/2006/relationships/hyperlink" Id="rId27" Target="https://x.com/RyanGreenblatt/status/2094996656186081642" TargetMode="External" /><Relationship Type="http://schemas.openxmlformats.org/officeDocument/2006/relationships/hyperlink" Id="rId43" Target="https://x.com/TheRundownAI/status/2095206369821409448" TargetMode="External" /><Relationship Type="http://schemas.openxmlformats.org/officeDocument/2006/relationships/hyperlink" Id="rId40" Target="https://x.com/TheTuringPost/status/2095295055762186416" TargetMode="External" /><Relationship Type="http://schemas.openxmlformats.org/officeDocument/2006/relationships/hyperlink" Id="rId45" Target="https://x.com/ValsAI/status/2095315958302904418" TargetMode="External" /><Relationship Type="http://schemas.openxmlformats.org/officeDocument/2006/relationships/hyperlink" Id="rId46" Target="https://x.com/arena/status/2095310438435369178" TargetMode="External" /><Relationship Type="http://schemas.openxmlformats.org/officeDocument/2006/relationships/hyperlink" Id="rId47" Target="https://x.com/cline/status/2095237408375845365" TargetMode="External" /><Relationship Type="http://schemas.openxmlformats.org/officeDocument/2006/relationships/hyperlink" Id="rId29" Target="https://x.com/eliebakouch/status/2094973682858733650" TargetMode="External" /><Relationship Type="http://schemas.openxmlformats.org/officeDocument/2006/relationships/hyperlink" Id="rId31" Target="https://x.com/guanlan/status/2095179765355540575" TargetMode="External" /><Relationship Type="http://schemas.openxmlformats.org/officeDocument/2006/relationships/hyperlink" Id="rId25" Target="https://x.com/i/article/2095148113530855424" TargetMode="External" /><Relationship Type="http://schemas.openxmlformats.org/officeDocument/2006/relationships/hyperlink" Id="rId30" Target="https://x.com/iScienceLuvr/status/2095026196698345481" TargetMode="External" /><Relationship Type="http://schemas.openxmlformats.org/officeDocument/2006/relationships/hyperlink" Id="rId28" Target="https://x.com/merettm/status/2095023204993490967" TargetMode="External" /><Relationship Type="http://schemas.openxmlformats.org/officeDocument/2006/relationships/hyperlink" Id="rId32" Target="https://x.com/nrehiew_/status/2095237494510157955" TargetMode="External" /><Relationship Type="http://schemas.openxmlformats.org/officeDocument/2006/relationships/hyperlink" Id="rId33" Target="https://x.com/nrehiew_/status/2095242466014417034" TargetMode="External" /><Relationship Type="http://schemas.openxmlformats.org/officeDocument/2006/relationships/hyperlink" Id="rId42" Target="https://x.com/percyliang/status/2095255747487740401" TargetMode="External" /><Relationship Type="http://schemas.openxmlformats.org/officeDocument/2006/relationships/hyperlink" Id="rId34" Target="https://x.com/perplexity_ai/status/2095241544383226274" TargetMode="External" /><Relationship Type="http://schemas.openxmlformats.org/officeDocument/2006/relationships/hyperlink" Id="rId36" Target="https://x.com/perplexity_ai/status/2095241592399606119" TargetMode="External" /><Relationship Type="http://schemas.openxmlformats.org/officeDocument/2006/relationships/hyperlink" Id="rId39" Target="https://x.com/togethercompute/status/2095214648991842690" TargetMode="External" /><Relationship Type="http://schemas.openxmlformats.org/officeDocument/2006/relationships/hyperlink" Id="rId41" Target="https://x.com/vipulved/status/209521702163836156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Gemini 3.8 and Muse Spark 1.3 Reset the Frontier’s Cost Curve</dc:title>
  <dc:creator>AI High Signal Digest</dc:creator>
  <cp:keywords/>
  <dcterms:created xsi:type="dcterms:W3CDTF">2026-09-04T05:52:02Z</dcterms:created>
  <dcterms:modified xsi:type="dcterms:W3CDTF">2026-09-04T05:52:02Z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2026-09-03</vt:lpwstr>
  </property>
</Properties>
</file>