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GLM-5.3-Flash Makes Inference Economics the New Frontier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2026-08-28</w:t>
      </w:r>
    </w:p>
    <w:bookmarkStart w:id="41" w:name="X905c4c4ceca38a2c5d4ee32f54a638e5e64ef9f"/>
    <w:p>
      <w:pPr>
        <w:pStyle w:val="Heading1"/>
      </w:pPr>
      <w:r>
        <w:t xml:space="preserve">GLM-5.3-Flash Makes Inference Economics the New Frontier</w:t>
      </w:r>
    </w:p>
    <w:p>
      <w:pPr>
        <w:pStyle w:val="FirstParagraph"/>
      </w:pPr>
      <w:r>
        <w:rPr>
          <w:iCs/>
          <w:i/>
        </w:rPr>
        <w:t xml:space="preserve">By AI High Signal Digest • August 28, 2026</w:t>
      </w:r>
    </w:p>
    <w:p>
      <w:pPr>
        <w:pStyle w:val="BodyText"/>
      </w:pPr>
      <w:r>
        <w:t xml:space="preserve">A concise digest of the period’s shift toward inference economics, collective cyber defense, agent-security research, and new media and voice-agent products.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period’s clearest shift is from model-release spectacle toward the infrastructure and defenses required to run agents at scale.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GLM-5.3-Flash turned serving into the headline.</w:t>
      </w:r>
      <w:r>
        <w:t xml:space="preserve"> </w:t>
      </w:r>
      <w:r>
        <w:t xml:space="preserve">Zhipu says its anonymous Ox Alpha trial processed roughly 70 trillion free tokens in one week on Chinese-chip clusters. The systems analysis reports 3.01× lower attention compute and 4.44× lower KV-cache demand than GLM-5.3; Zhipu claims 3× end-to-end serving performance on the same hardware and per-token costs near mainstream NVIDIA GPUs. The reported deployment scale is about 100,000 chips, but Zhipu has confirmed only</w:t>
      </w:r>
      <w:r>
        <w:t xml:space="preserve"> </w:t>
      </w:r>
      <w:r>
        <w:t xml:space="preserve">“</w:t>
      </w:r>
      <w:r>
        <w:t xml:space="preserve">tens of thousands.</w:t>
      </w:r>
      <w:r>
        <w:t xml:space="preserve">”</w:t>
      </w:r>
      <w:r>
        <w:t xml:space="preserve"> </w:t>
      </w:r>
      <w:r>
        <w:t xml:space="preserve">The signal is model–system co-design: trading extra compute and inter-chip communication for lower memory traffic. [1]</w:t>
      </w:r>
    </w:p>
    <w:p>
      <w:pPr>
        <w:pStyle w:val="BodyText"/>
      </w:pPr>
      <w:r>
        <w:rPr>
          <w:bCs/>
          <w:b/>
        </w:rPr>
        <w:t xml:space="preserve">AI companies are translating cyber risk into a collective operating agenda.</w:t>
      </w:r>
      <w:r>
        <w:t xml:space="preserve"> </w:t>
      </w:r>
      <w:r>
        <w:t xml:space="preserve">An open letter signed by more than 100 organizations, including Anthropic, AWS, Google, Microsoft, OpenAI, and Oracle, warns that AI-enabled attacks will become more widespread and sophisticated in coming months. It calls for cyber-capable AI, continuous testing, shared threat intelligence, government funding for essential services, and traceable, accountable agent identities. [3, 2]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most actionable technical work targets the agent loop—how shared state spreads failures and how long reasoning is paid for.</w:t>
      </w:r>
      <w:r>
        <w:t xml:space="preserve"> </w:t>
      </w:r>
      <w:r>
        <w:t xml:space="preserve">[4, 5]</w:t>
      </w:r>
    </w:p>
    <w:p>
      <w:pPr>
        <w:pStyle w:val="BodyText"/>
      </w:pPr>
      <w:r>
        <w:rPr>
          <w:bCs/>
          <w:b/>
        </w:rPr>
        <w:t xml:space="preserve">EvoMal exposes a software-supply-chain risk in agent skill libraries.</w:t>
      </w:r>
      <w:r>
        <w:t xml:space="preserve"> </w:t>
      </w:r>
      <w:r>
        <w:t xml:space="preserve">The research summary reports self-poisoning rates of 20.3–41.8% across six models and 153 tool-relevant SWE-bench tasks; contaminated libraries accumulated 4.9–9× as many malicious skills as were planted. Deleting the originals left Qwen3 at 68% poisoning in round five, while a counter-prompt cut poisoning to 6.7% without significant task-completion loss. [4]</w:t>
      </w:r>
    </w:p>
    <w:p>
      <w:pPr>
        <w:pStyle w:val="BodyText"/>
      </w:pPr>
      <w:r>
        <w:rPr>
          <w:bCs/>
          <w:b/>
        </w:rPr>
        <w:t xml:space="preserve">Prefix Sliding attacks the cost of long reasoning.</w:t>
      </w:r>
      <w:r>
        <w:t xml:space="preserve"> </w:t>
      </w:r>
      <w:r>
        <w:t xml:space="preserve">It retains the task/system/tool prefix and a recent-token window while dropping intermediate reasoning tokens; the authors report 3× faster generation without training at maintained performance, and longer than 100,000-token RL rollouts, while noting that substantial scaling work remains. [5, 6]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AI products are becoming more controllable in media and more latency-sensitive in real-time interaction.</w:t>
      </w:r>
    </w:p>
    <w:p>
      <w:pPr>
        <w:pStyle w:val="BodyText"/>
      </w:pPr>
      <w:r>
        <w:rPr>
          <w:bCs/>
          <w:b/>
        </w:rPr>
        <w:t xml:space="preserve">Gemini Omni 1.1 Flash</w:t>
      </w:r>
      <w:r>
        <w:t xml:space="preserve"> </w:t>
      </w:r>
      <w:r>
        <w:t xml:space="preserve">is Google’s production-oriented video-generation update: it analyzes up to 10 seconds of prior footage, extends scenes in 10-second increments to 40 seconds, supports first/last-frame controls and three-second video references, and offers 360p drafts up to 60% faster and one-third the cost of standard 720p, plus 4K output. It is rolling out through Google AI Studio, the Enterprise Agent Platform, Flow, and the Gemini app. [7]</w:t>
      </w:r>
    </w:p>
    <w:p>
      <w:pPr>
        <w:pStyle w:val="BodyText"/>
      </w:pPr>
      <w:r>
        <w:rPr>
          <w:bCs/>
          <w:b/>
        </w:rPr>
        <w:t xml:space="preserve">PhoneLLM</w:t>
      </w:r>
      <w:r>
        <w:t xml:space="preserve"> </w:t>
      </w:r>
      <w:r>
        <w:t xml:space="preserve">is an open voice-agent model, a full-weights fine-tune of NVIDIA Nemotron Nano 30B for telephone and customer-support tasks. Its launch post reports GPT-5.6 Terra-level performance at one-third the latency and one-eighteenth the cost, sub-100-ms server-side TTFAT, more than 80 concurrent agents per B200 at under 600-ms P95 end-to-end TTFAT, and an estimated $0.0025 LLM cost per minute. [8]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Compute supply and control of the open-model ecosystem are becoming strategic assets alongside model capability.</w:t>
      </w:r>
      <w:r>
        <w:t xml:space="preserve"> </w:t>
      </w:r>
      <w:r>
        <w:t xml:space="preserve">[9, 10]</w:t>
      </w:r>
    </w:p>
    <w:p>
      <w:pPr>
        <w:pStyle w:val="BodyText"/>
      </w:pPr>
      <w:r>
        <w:rPr>
          <w:bCs/>
          <w:b/>
        </w:rPr>
        <w:t xml:space="preserve">NVIDIA’s reported Hugging Face acquisition is high-impact but unresolved.</w:t>
      </w:r>
      <w:r>
        <w:t xml:space="preserve"> </w:t>
      </w:r>
      <w:r>
        <w:t xml:space="preserve">A monitored post relaying</w:t>
      </w:r>
      <w:r>
        <w:t xml:space="preserve"> </w:t>
      </w:r>
      <w:r>
        <w:rPr>
          <w:iCs/>
          <w:i/>
        </w:rPr>
        <w:t xml:space="preserve">The Information</w:t>
      </w:r>
      <w:r>
        <w:t xml:space="preserve"> </w:t>
      </w:r>
      <w:r>
        <w:t xml:space="preserve">reports a $12.9 billion transaction—about 80× the post’s cited $150 million annualized revenue—and frames the rationale as strategic control of open models, GPU demand, and cloud distribution. A Hugging Face representative later said no deal had been signed, so this remains a report rather than a closed transaction. [9, 11]</w:t>
      </w:r>
    </w:p>
    <w:p>
      <w:pPr>
        <w:pStyle w:val="BodyText"/>
      </w:pPr>
      <w:r>
        <w:rPr>
          <w:bCs/>
          <w:b/>
        </w:rPr>
        <w:t xml:space="preserve">Hark announced a multi-year NVIDIA partnership</w:t>
      </w:r>
      <w:r>
        <w:t xml:space="preserve"> </w:t>
      </w:r>
      <w:r>
        <w:t xml:space="preserve">with gigawatt-scale capacity on Vera Rubin platforms to train its multimodal systems and deliver its user-facing AI interface at scale. [10]</w:t>
      </w:r>
    </w:p>
    <w:bookmarkEnd w:id="23"/>
    <w:bookmarkStart w:id="40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Evaluation, search, and physical control are moving from demos toward operational tests.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NEEDLE</w:t>
      </w:r>
      <w:r>
        <w:t xml:space="preserve"> </w:t>
      </w:r>
      <w:r>
        <w:t xml:space="preserve">is a live search benchmark built from real agent logs and fresh RSS, Trends, financial, and scientific data, with tasks rerun daily or hourly; rare-entity queries are the hardest. [12]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Terminal-Bench-Science</w:t>
      </w:r>
      <w:r>
        <w:t xml:space="preserve"> </w:t>
      </w:r>
      <w:r>
        <w:t xml:space="preserve">launches with 70 scientific research-workflow tasks; the Stanford-led post says Claude Opus 5 solves about 30%. [13]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Agnes 2.5 Pro Beta</w:t>
      </w:r>
      <w:r>
        <w:t xml:space="preserve"> </w:t>
      </w:r>
      <w:r>
        <w:t xml:space="preserve">rises from 40 to 49 on Artificial Analysis’s Intelligence Index and from 25 to 44 on its Agentic Index, but its omniscience improvement reflects abstention: it attempts 45% of questions versus 94%, cutting hallucinations while halving accuracy from 33% to 17%. [14]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Anthropic’s Model Hardware Standard</w:t>
      </w:r>
      <w:r>
        <w:t xml:space="preserve"> </w:t>
      </w:r>
      <w:r>
        <w:t xml:space="preserve">enters research preview as a proposed standard for agents operating physical equipment in scientific research and advanced manufacturing. [15]</w:t>
      </w:r>
    </w:p>
    <w:p>
      <w:r>
        <w:pict>
          <v:rect style="width:0;height:1.5pt" o:hralign="center" o:hrstd="t" o:hr="t"/>
        </w:pict>
      </w:r>
    </w:p>
    <w:bookmarkStart w:id="3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@Muennighoff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@GoogleAIStudio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@kwindla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@mervenoyann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@styskin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@StevenDillmann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8" Target="https://x.com/AnthropicAI/status/2093038426140651791" TargetMode="External" /><Relationship Type="http://schemas.openxmlformats.org/officeDocument/2006/relationships/hyperlink" Id="rId37" Target="https://x.com/ArtificialAnlys/status/2093157744471851476" TargetMode="External" /><Relationship Type="http://schemas.openxmlformats.org/officeDocument/2006/relationships/hyperlink" Id="rId29" Target="https://x.com/Muennighoff/status/2092960071865012477" TargetMode="External" /><Relationship Type="http://schemas.openxmlformats.org/officeDocument/2006/relationships/hyperlink" Id="rId36" Target="https://x.com/StevenDillmann/status/2093041660615852448" TargetMode="External" /><Relationship Type="http://schemas.openxmlformats.org/officeDocument/2006/relationships/hyperlink" Id="rId24" Target="https://x.com/ZhihuFrontier/status/2093182602790457360" TargetMode="External" /><Relationship Type="http://schemas.openxmlformats.org/officeDocument/2006/relationships/hyperlink" Id="rId33" Target="https://x.com/adcock_brett/status/2092989234189869211" TargetMode="External" /><Relationship Type="http://schemas.openxmlformats.org/officeDocument/2006/relationships/hyperlink" Id="rId26" Target="https://x.com/gdb/status/2093021551855812842" TargetMode="External" /><Relationship Type="http://schemas.openxmlformats.org/officeDocument/2006/relationships/hyperlink" Id="rId35" Target="https://x.com/i/article/2092664248291786752" TargetMode="External" /><Relationship Type="http://schemas.openxmlformats.org/officeDocument/2006/relationships/hyperlink" Id="rId30" Target="https://x.com/i/article/2092772902189830144" TargetMode="External" /><Relationship Type="http://schemas.openxmlformats.org/officeDocument/2006/relationships/hyperlink" Id="rId25" Target="https://x.com/i/article/2093011711712456704" TargetMode="External" /><Relationship Type="http://schemas.openxmlformats.org/officeDocument/2006/relationships/hyperlink" Id="rId28" Target="https://x.com/iScienceLuvr/status/2092902633468022979" TargetMode="External" /><Relationship Type="http://schemas.openxmlformats.org/officeDocument/2006/relationships/hyperlink" Id="rId32" Target="https://x.com/kimmonismus/status/2092890272979919181" TargetMode="External" /><Relationship Type="http://schemas.openxmlformats.org/officeDocument/2006/relationships/hyperlink" Id="rId31" Target="https://x.com/kwindla/status/2093014818647339026" TargetMode="External" /><Relationship Type="http://schemas.openxmlformats.org/officeDocument/2006/relationships/hyperlink" Id="rId34" Target="https://x.com/mervenoyann/status/2092956344332480722" TargetMode="External" /><Relationship Type="http://schemas.openxmlformats.org/officeDocument/2006/relationships/hyperlink" Id="rId27" Target="https://x.com/omarsar0/status/20930010973467649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s://x.com/AnthropicAI/status/2093038426140651791" TargetMode="External" /><Relationship Type="http://schemas.openxmlformats.org/officeDocument/2006/relationships/hyperlink" Id="rId37" Target="https://x.com/ArtificialAnlys/status/2093157744471851476" TargetMode="External" /><Relationship Type="http://schemas.openxmlformats.org/officeDocument/2006/relationships/hyperlink" Id="rId29" Target="https://x.com/Muennighoff/status/2092960071865012477" TargetMode="External" /><Relationship Type="http://schemas.openxmlformats.org/officeDocument/2006/relationships/hyperlink" Id="rId36" Target="https://x.com/StevenDillmann/status/2093041660615852448" TargetMode="External" /><Relationship Type="http://schemas.openxmlformats.org/officeDocument/2006/relationships/hyperlink" Id="rId24" Target="https://x.com/ZhihuFrontier/status/2093182602790457360" TargetMode="External" /><Relationship Type="http://schemas.openxmlformats.org/officeDocument/2006/relationships/hyperlink" Id="rId33" Target="https://x.com/adcock_brett/status/2092989234189869211" TargetMode="External" /><Relationship Type="http://schemas.openxmlformats.org/officeDocument/2006/relationships/hyperlink" Id="rId26" Target="https://x.com/gdb/status/2093021551855812842" TargetMode="External" /><Relationship Type="http://schemas.openxmlformats.org/officeDocument/2006/relationships/hyperlink" Id="rId35" Target="https://x.com/i/article/2092664248291786752" TargetMode="External" /><Relationship Type="http://schemas.openxmlformats.org/officeDocument/2006/relationships/hyperlink" Id="rId30" Target="https://x.com/i/article/2092772902189830144" TargetMode="External" /><Relationship Type="http://schemas.openxmlformats.org/officeDocument/2006/relationships/hyperlink" Id="rId25" Target="https://x.com/i/article/2093011711712456704" TargetMode="External" /><Relationship Type="http://schemas.openxmlformats.org/officeDocument/2006/relationships/hyperlink" Id="rId28" Target="https://x.com/iScienceLuvr/status/2092902633468022979" TargetMode="External" /><Relationship Type="http://schemas.openxmlformats.org/officeDocument/2006/relationships/hyperlink" Id="rId32" Target="https://x.com/kimmonismus/status/2092890272979919181" TargetMode="External" /><Relationship Type="http://schemas.openxmlformats.org/officeDocument/2006/relationships/hyperlink" Id="rId31" Target="https://x.com/kwindla/status/2093014818647339026" TargetMode="External" /><Relationship Type="http://schemas.openxmlformats.org/officeDocument/2006/relationships/hyperlink" Id="rId34" Target="https://x.com/mervenoyann/status/2092956344332480722" TargetMode="External" /><Relationship Type="http://schemas.openxmlformats.org/officeDocument/2006/relationships/hyperlink" Id="rId27" Target="https://x.com/omarsar0/status/20930010973467649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GLM-5.3-Flash Makes Inference Economics the New Frontier</dc:title>
  <dc:creator>AI High Signal Digest</dc:creator>
  <cp:keywords/>
  <dcterms:created xsi:type="dcterms:W3CDTF">2026-08-29T06:34:14Z</dcterms:created>
  <dcterms:modified xsi:type="dcterms:W3CDTF">2026-08-29T06:34:14Z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2026-08-28</vt:lpwstr>
  </property>
</Properties>
</file>