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Governed AI Deployments Rise as U.S. Frontier Access Tightens and Meta Pushes Brain-to-Text</w:t>
      </w:r>
    </w:p>
    <w:p>
      <w:pPr>
        <w:pStyle w:val="Author"/>
      </w:pPr>
      <w:r>
        <w:t xml:space="preserve">AI News Digest</w:t>
      </w:r>
    </w:p>
    <w:p>
      <w:pPr>
        <w:pStyle w:val="Date"/>
      </w:pPr>
      <w:r>
        <w:t xml:space="preserve">2026-06-30</w:t>
      </w:r>
    </w:p>
    <w:bookmarkStart w:id="42" w:name="Xc5f2f4a458e86d8b6a8eca9b91e9bc203f44e74"/>
    <w:p>
      <w:pPr>
        <w:pStyle w:val="Heading1"/>
      </w:pPr>
      <w:r>
        <w:t xml:space="preserve">Governed AI Deployments Rise as U.S. Frontier Access Tightens and Meta Pushes Brain-to-Text</w:t>
      </w:r>
    </w:p>
    <w:p>
      <w:pPr>
        <w:pStyle w:val="FirstParagraph"/>
      </w:pPr>
      <w:r>
        <w:rPr>
          <w:iCs/>
          <w:i/>
        </w:rPr>
        <w:t xml:space="preserve">By AI News Digest • June 30, 2026</w:t>
      </w:r>
    </w:p>
    <w:p>
      <w:pPr>
        <w:pStyle w:val="BodyText"/>
      </w:pPr>
      <w:r>
        <w:t xml:space="preserve">Today’s digest centers on a shift from model access to controlled deployment: governed enterprise launches, operational lessons on agent rollout, a narrower U.S. frontier-model access regime, and new research in brain decoding and robot self-improvement.</w:t>
      </w:r>
    </w:p>
    <w:bookmarkStart w:id="20" w:name="a-clear-pattern-emerged-today"/>
    <w:p>
      <w:pPr>
        <w:pStyle w:val="Heading2"/>
      </w:pPr>
      <w:r>
        <w:t xml:space="preserve">A clear pattern emerged today</w:t>
      </w:r>
    </w:p>
    <w:p>
      <w:pPr>
        <w:pStyle w:val="FirstParagraph"/>
      </w:pPr>
      <w:r>
        <w:t xml:space="preserve">Controlled deployment was the dominant story: enterprise launches centered on governed environments, expert commentary centered on permissions and rollout, and U.S. policy stayed focused on who gets access to the most capable frontier systems [1, 2, 3, 4]. Research kept moving in parallel, with notable progress in both brain decoding and closed-loop robot improvement [5, 6].</w:t>
      </w:r>
    </w:p>
    <w:bookmarkEnd w:id="20"/>
    <w:bookmarkStart w:id="23" w:name="X54eee88dc55e6edf087b6a9d7771ec6f5f7ef6b"/>
    <w:p>
      <w:pPr>
        <w:pStyle w:val="Heading2"/>
      </w:pPr>
      <w:r>
        <w:t xml:space="preserve">Enterprise AI is being packaged around control</w:t>
      </w:r>
    </w:p>
    <w:bookmarkStart w:id="21" w:name="Xdad75c9a5346e44e264c9cfdbfeed99fe0bc333"/>
    <w:p>
      <w:pPr>
        <w:pStyle w:val="Heading3"/>
      </w:pPr>
      <w:r>
        <w:t xml:space="preserve">NVIDIA, Microsoft, Anthropic, and Palantir are targeting regulated environments</w:t>
      </w:r>
    </w:p>
    <w:p>
      <w:pPr>
        <w:pStyle w:val="FirstParagraph"/>
      </w:pPr>
      <w:r>
        <w:t xml:space="preserve">Anthropic’s Claude models are now generally available in Microsoft Foundry on Azure, running on NVIDIA GB300 NVL72 systems with Quantum-X800 InfiniBand, and NVIDIA is adding verified agent skills plus a Secure Agent Workspace reference design for governed deployments [1]. In parallel, Palantir introduced an intelligent engine for U.S. government agencies that uses NVIDIA Nemotron open models in air-gapped environments, allowing customers to train on their own data and retain the resulting model weights [2].</w:t>
      </w:r>
    </w:p>
    <w:p>
      <w:pPr>
        <w:pStyle w:val="BodyText"/>
      </w:pPr>
      <w:r>
        <w:rPr>
          <w:bCs/>
          <w:b/>
        </w:rPr>
        <w:t xml:space="preserve">Why it matters:</w:t>
      </w:r>
      <w:r>
        <w:t xml:space="preserve"> </w:t>
      </w:r>
      <w:r>
        <w:t xml:space="preserve">The shared emphasis is not just model access. It is secure, specialized deployment inside environments with strict control, auditability, and infrastructure constraints [1, 2].</w:t>
      </w:r>
    </w:p>
    <w:bookmarkEnd w:id="21"/>
    <w:bookmarkStart w:id="22" w:name="X6ec471ea70a67e2167651f8b1073f140cceef74"/>
    <w:p>
      <w:pPr>
        <w:pStyle w:val="Heading3"/>
      </w:pPr>
      <w:r>
        <w:t xml:space="preserve">The harder part of agent adoption looks operational</w:t>
      </w:r>
    </w:p>
    <w:p>
      <w:pPr>
        <w:pStyle w:val="FirstParagraph"/>
      </w:pPr>
      <w:r>
        <w:t xml:space="preserve">Harrison Chase argued that enterprise adoption still lags coding agents because non-coding work is less verifiable, users are less technical, and agents inherit each employee’s complicated data-permission boundaries [4]. Box says that makes core plumbing unusually valuable: a single governance and permissions architecture, agent-ready document conversion, and MCP connections into domain tools, while NanoClaw says its early enterprise rollouts depend on per-agent container isolation, proxied vault access for credentials, and human-in-the-loop approvals [4, 7]. Chase also said headless APIs increase usage rather than reduce it, and that coding harnesses are becoming the backbone for broader knowledge-work agents [4].</w:t>
      </w:r>
    </w:p>
    <w:p>
      <w:pPr>
        <w:pStyle w:val="BodyText"/>
      </w:pPr>
      <w:r>
        <w:rPr>
          <w:bCs/>
          <w:b/>
        </w:rPr>
        <w:t xml:space="preserve">Why it matters:</w:t>
      </w:r>
      <w:r>
        <w:t xml:space="preserve"> </w:t>
      </w:r>
      <w:r>
        <w:t xml:space="preserve">For professionals tracking adoption, the friction point is shifting from raw model quality toward access control, workflow context, and the operational layer around agents [4].</w:t>
      </w:r>
    </w:p>
    <w:bookmarkEnd w:id="22"/>
    <w:bookmarkEnd w:id="23"/>
    <w:bookmarkStart w:id="25" w:name="X3dde1afbdb9534f30c648156fac978cca047eba"/>
    <w:p>
      <w:pPr>
        <w:pStyle w:val="Heading2"/>
      </w:pPr>
      <w:r>
        <w:t xml:space="preserve">The frontier-policy split is becoming more concrete</w:t>
      </w:r>
    </w:p>
    <w:bookmarkStart w:id="24" w:name="X0e7034dc3b0b190c8b4fd654493370379c2dad1"/>
    <w:p>
      <w:pPr>
        <w:pStyle w:val="Heading3"/>
      </w:pPr>
      <w:r>
        <w:t xml:space="preserve">Anthropic regained limited access, while open-source advocates argued for narrower rules</w:t>
      </w:r>
    </w:p>
    <w:p>
      <w:pPr>
        <w:pStyle w:val="FirstParagraph"/>
      </w:pPr>
      <w:r>
        <w:t xml:space="preserve">Bloomberg Tech reported that Anthropic received U.S. approval to restore some access to its Mythos Five model for certain trusted partners after an abrupt restriction, with Commerce Secretary Howard Lutnick saying the model could be released under restrictions and reporting citing a cap of no more than 100 federal agencies and private companies approved for access [3]. In that context, Hugging Face CEO Clément Delangue argued that frontier labs can absorb this kind of scrutiny, but that similar constraints should not spread to startups, academia, and the open-source ecosystem, which he described as more transparent, more distributed, and generally less concentrated in the highest-risk capabilities [3, 8, 9].</w:t>
      </w:r>
    </w:p>
    <w:p>
      <w:pPr>
        <w:pStyle w:val="BodyText"/>
      </w:pPr>
      <w:r>
        <w:rPr>
          <w:bCs/>
          <w:b/>
        </w:rPr>
        <w:t xml:space="preserve">Why it matters:</w:t>
      </w:r>
      <w:r>
        <w:t xml:space="preserve"> </w:t>
      </w:r>
      <w:r>
        <w:t xml:space="preserve">The policy debate is becoming less abstract: tighter handling for a small set of frontier systems is already affecting who can use them, while the fight over whether those rules spread outward is still active [3, 9].</w:t>
      </w:r>
    </w:p>
    <w:bookmarkEnd w:id="24"/>
    <w:bookmarkEnd w:id="25"/>
    <w:bookmarkStart w:id="41" w:name="X8d5643d800f80dbb412b58be880e05d01960316"/>
    <w:p>
      <w:pPr>
        <w:pStyle w:val="Heading2"/>
      </w:pPr>
      <w:r>
        <w:t xml:space="preserve">Research pushed into harder human and physical interfaces</w:t>
      </w:r>
    </w:p>
    <w:bookmarkStart w:id="26" w:name="Xb1568d0835f383b212bf667bded1cfcffe35919"/>
    <w:p>
      <w:pPr>
        <w:pStyle w:val="Heading3"/>
      </w:pPr>
      <w:r>
        <w:t xml:space="preserve">Meta’s Brain2Qwerty v2 moves non-invasive brain decoding from characters toward words</w:t>
      </w:r>
    </w:p>
    <w:p>
      <w:pPr>
        <w:pStyle w:val="FirstParagraph"/>
      </w:pPr>
      <w:r>
        <w:t xml:space="preserve">Meta said Brain2Qwerty v2 is its highest-performing end-to-end pipeline for real-time sentence decoding from raw MEG brain signals, advancing from character-level decoding toward words and semantics [5]. Trained on roughly 22,000 sentences from nine volunteers, it achieved 61% average word accuracy across participants and 78% for the top participant; Meta also released the full training code for v1 and v2, while its partner released the v1 dataset [10, 11, 12].</w:t>
      </w:r>
    </w:p>
    <w:p>
      <w:pPr>
        <w:pStyle w:val="BodyText"/>
      </w:pPr>
      <w:r>
        <w:rPr>
          <w:bCs/>
          <w:b/>
        </w:rPr>
        <w:t xml:space="preserve">Why it matters:</w:t>
      </w:r>
      <w:r>
        <w:t xml:space="preserve"> </w:t>
      </w:r>
      <w:r>
        <w:t xml:space="preserve">Meta framed the work as part of an effort to restore communication for people with brain lesions or disorders that prevent them from communicating [5].</w:t>
      </w:r>
    </w:p>
    <w:bookmarkEnd w:id="26"/>
    <w:bookmarkStart w:id="27" w:name="X28861559c676224ccbc57e5d8910bad420b0332"/>
    <w:p>
      <w:pPr>
        <w:pStyle w:val="Heading3"/>
      </w:pPr>
      <w:r>
        <w:t xml:space="preserve">NVIDIA’s ENPIRE shows coding agents closing the loop on robot improvement</w:t>
      </w:r>
    </w:p>
    <w:p>
      <w:pPr>
        <w:pStyle w:val="FirstParagraph"/>
      </w:pPr>
      <w:r>
        <w:t xml:space="preserve">NVIDIA researchers introduced ENPIRE, a framework with environment, policy improvement, rollout, and evolution modules that lets coding agents run physical robot experiments with automatic evaluation and resets [6]. In tests on tasks including PushT, organizing pins, cutting a zip tie, and GPU insertion into motherboards, frontier agents achieved 99% success rates, using stations built around dual YAM arms and RTX 5090 workstations [6].</w:t>
      </w:r>
    </w:p>
    <w:p>
      <w:pPr>
        <w:pStyle w:val="BodyText"/>
      </w:pPr>
      <w:r>
        <w:rPr>
          <w:bCs/>
          <w:b/>
        </w:rPr>
        <w:t xml:space="preserve">Why it matters:</w:t>
      </w:r>
      <w:r>
        <w:t xml:space="preserve"> </w:t>
      </w:r>
      <w:r>
        <w:t xml:space="preserve">It is a concrete sign that agent-style experimentation is moving beyond software into repeatable real-world robotics loops [6].</w:t>
      </w:r>
    </w:p>
    <w:p>
      <w:r>
        <w:pict>
          <v:rect style="width:0;height:1.5pt" o:hralign="center" o:hrstd="t" o:hr="t"/>
        </w:pict>
      </w:r>
    </w:p>
    <w:bookmarkEnd w:id="27"/>
    <w:bookmarkStart w:id="40" w:name="sources"/>
    <w:p>
      <w:pPr>
        <w:pStyle w:val="Heading3"/>
      </w:pPr>
      <w:r>
        <w:t xml:space="preserve">Sources</w:t>
      </w:r>
    </w:p>
    <w:p>
      <w:pPr>
        <w:numPr>
          <w:ilvl w:val="0"/>
          <w:numId w:val="1001"/>
        </w:numPr>
        <w:pStyle w:val="Compact"/>
      </w:pPr>
      <w:hyperlink r:id="rId28">
        <w:r>
          <w:rPr>
            <w:rStyle w:val="Hyperlink"/>
          </w:rPr>
          <w:t xml:space="preserve">Claude Meets Blackwell Ultra: Anthropic’s Models Now Run on NVIDIA GB300 in Azure</w:t>
        </w:r>
      </w:hyperlink>
    </w:p>
    <w:p>
      <w:pPr>
        <w:numPr>
          <w:ilvl w:val="0"/>
          <w:numId w:val="1001"/>
        </w:numPr>
        <w:pStyle w:val="Compact"/>
      </w:pPr>
      <w:hyperlink r:id="rId29">
        <w:r>
          <w:rPr>
            <w:rStyle w:val="Hyperlink"/>
          </w:rPr>
          <w:t xml:space="preserve">Open Models, Closed Environments: Palantir Brings Secure AI to US Agencies With NVIDIA Nemotron</w:t>
        </w:r>
      </w:hyperlink>
    </w:p>
    <w:p>
      <w:pPr>
        <w:numPr>
          <w:ilvl w:val="0"/>
          <w:numId w:val="1001"/>
        </w:numPr>
        <w:pStyle w:val="Compact"/>
      </w:pPr>
      <w:hyperlink r:id="rId30">
        <w:r>
          <w:rPr>
            <w:rStyle w:val="Hyperlink"/>
          </w:rPr>
          <w:t xml:space="preserve">Rocket Lab Targets SpaceX’s Starlink Dominance in New Deal | Bloomberg Tech 6/29/2026</w:t>
        </w:r>
      </w:hyperlink>
    </w:p>
    <w:p>
      <w:pPr>
        <w:numPr>
          <w:ilvl w:val="0"/>
          <w:numId w:val="1001"/>
        </w:numPr>
        <w:pStyle w:val="Compact"/>
      </w:pPr>
      <w:hyperlink r:id="rId31">
        <w:r>
          <w:rPr>
            <w:rStyle w:val="Hyperlink"/>
          </w:rPr>
          <w:t xml:space="preserve">Why Enterprise AI Adoption Is Slower Than You Think — Aaron Levie (Box) + Harrison Chase</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33">
        <w:r>
          <w:rPr>
            <w:rStyle w:val="Hyperlink"/>
          </w:rPr>
          <w:t xml:space="preserve">Import AI 463: Self-improving robots; a 10k Chinese GPU cluster; and an elegiac essay for the human era</w:t>
        </w:r>
      </w:hyperlink>
    </w:p>
    <w:p>
      <w:pPr>
        <w:numPr>
          <w:ilvl w:val="0"/>
          <w:numId w:val="1001"/>
        </w:numPr>
        <w:pStyle w:val="Compact"/>
      </w:pPr>
      <w:hyperlink r:id="rId34">
        <w:r>
          <w:rPr>
            <w:rStyle w:val="Hyperlink"/>
          </w:rPr>
          <w:t xml:space="preserve">The Blueprint for Autonomous Work Agents | Gavriel Cohen, NanoClaw</w:t>
        </w:r>
      </w:hyperlink>
    </w:p>
    <w:p>
      <w:pPr>
        <w:numPr>
          <w:ilvl w:val="0"/>
          <w:numId w:val="1001"/>
        </w:numPr>
        <w:pStyle w:val="Compact"/>
      </w:pPr>
      <w:hyperlink r:id="rId35">
        <w:r>
          <w:rPr>
            <w:rStyle w:val="Hyperlink"/>
          </w:rPr>
          <w:t xml:space="preserve">Is the Government Nervous About GPT-5? | 🟡🔴🔵 MTS Live</w:t>
        </w:r>
      </w:hyperlink>
    </w:p>
    <w:p>
      <w:pPr>
        <w:numPr>
          <w:ilvl w:val="0"/>
          <w:numId w:val="1001"/>
        </w:numPr>
        <w:pStyle w:val="Compact"/>
      </w:pPr>
      <w:hyperlink r:id="rId36">
        <w:r>
          <w:rPr>
            <w:rStyle w:val="Hyperlink"/>
          </w:rPr>
          <w:t xml:space="preserve">Hugging Face CEO Weighs In on Anthropic AI Model’s</w:t>
        </w:r>
        <w:r>
          <w:rPr>
            <w:rStyle w:val="Hyperlink"/>
          </w:rPr>
          <w:t xml:space="preserve"> </w:t>
        </w:r>
        <w:r>
          <w:rPr>
            <w:rStyle w:val="Hyperlink"/>
          </w:rPr>
          <w:t xml:space="preserve">‘</w:t>
        </w:r>
        <w:r>
          <w:rPr>
            <w:rStyle w:val="Hyperlink"/>
          </w:rPr>
          <w:t xml:space="preserve">Dangerous</w:t>
        </w:r>
        <w:r>
          <w:rPr>
            <w:rStyle w:val="Hyperlink"/>
          </w:rPr>
          <w:t xml:space="preserve">’</w:t>
        </w:r>
        <w:r>
          <w:rPr>
            <w:rStyle w:val="Hyperlink"/>
          </w:rPr>
          <w:t xml:space="preserve"> </w:t>
        </w:r>
        <w:r>
          <w:rPr>
            <w:rStyle w:val="Hyperlink"/>
          </w:rPr>
          <w:t xml:space="preserve">Label</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@AIatMeta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@AIatMeta</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blogs.nvidia.com/blog/anthropic-nvidia-gb300-blackwell-ultra-microsoft-azure" TargetMode="External" /><Relationship Type="http://schemas.openxmlformats.org/officeDocument/2006/relationships/hyperlink" Id="rId29" Target="https://blogs.nvidia.com/blog/palantir-secure-ai-us-agencies-nemotron-open-models" TargetMode="External" /><Relationship Type="http://schemas.openxmlformats.org/officeDocument/2006/relationships/hyperlink" Id="rId33" Target="https://importai.substack.com/p/import-ai-463-self-improving-robots" TargetMode="External" /><Relationship Type="http://schemas.openxmlformats.org/officeDocument/2006/relationships/hyperlink" Id="rId36" Target="https://www.youtube.com/watch?v=3eordN1yvXw" TargetMode="External" /><Relationship Type="http://schemas.openxmlformats.org/officeDocument/2006/relationships/hyperlink" Id="rId30" Target="https://www.youtube.com/watch?v=XotwiLim5vM" TargetMode="External" /><Relationship Type="http://schemas.openxmlformats.org/officeDocument/2006/relationships/hyperlink" Id="rId31" Target="https://www.youtube.com/watch?v=agSRMrhNTf4" TargetMode="External" /><Relationship Type="http://schemas.openxmlformats.org/officeDocument/2006/relationships/hyperlink" Id="rId34" Target="https://www.youtube.com/watch?v=hLUGXO5DSpo" TargetMode="External" /><Relationship Type="http://schemas.openxmlformats.org/officeDocument/2006/relationships/hyperlink" Id="rId35" Target="https://www.youtube.com/watch?v=iAN7_656jfQ" TargetMode="External" /><Relationship Type="http://schemas.openxmlformats.org/officeDocument/2006/relationships/hyperlink" Id="rId32" Target="https://x.com/AIatMeta/status/2071566924803395741" TargetMode="External" /><Relationship Type="http://schemas.openxmlformats.org/officeDocument/2006/relationships/hyperlink" Id="rId37" Target="https://x.com/AIatMeta/status/2071566927420588162" TargetMode="External" /><Relationship Type="http://schemas.openxmlformats.org/officeDocument/2006/relationships/hyperlink" Id="rId38" Target="https://x.com/AIatMeta/status/2071566934571954326" TargetMode="External" /><Relationship Type="http://schemas.openxmlformats.org/officeDocument/2006/relationships/hyperlink" Id="rId39" Target="https://x.com/AIatMeta/status/2071581213677248663" TargetMode="External" /></Relationships>
</file>

<file path=word/_rels/footnotes.xml.rels><?xml version="1.0" encoding="UTF-8"?><Relationships xmlns="http://schemas.openxmlformats.org/package/2006/relationships"><Relationship Type="http://schemas.openxmlformats.org/officeDocument/2006/relationships/hyperlink" Id="rId28" Target="https://blogs.nvidia.com/blog/anthropic-nvidia-gb300-blackwell-ultra-microsoft-azure" TargetMode="External" /><Relationship Type="http://schemas.openxmlformats.org/officeDocument/2006/relationships/hyperlink" Id="rId29" Target="https://blogs.nvidia.com/blog/palantir-secure-ai-us-agencies-nemotron-open-models" TargetMode="External" /><Relationship Type="http://schemas.openxmlformats.org/officeDocument/2006/relationships/hyperlink" Id="rId33" Target="https://importai.substack.com/p/import-ai-463-self-improving-robots" TargetMode="External" /><Relationship Type="http://schemas.openxmlformats.org/officeDocument/2006/relationships/hyperlink" Id="rId36" Target="https://www.youtube.com/watch?v=3eordN1yvXw" TargetMode="External" /><Relationship Type="http://schemas.openxmlformats.org/officeDocument/2006/relationships/hyperlink" Id="rId30" Target="https://www.youtube.com/watch?v=XotwiLim5vM" TargetMode="External" /><Relationship Type="http://schemas.openxmlformats.org/officeDocument/2006/relationships/hyperlink" Id="rId31" Target="https://www.youtube.com/watch?v=agSRMrhNTf4" TargetMode="External" /><Relationship Type="http://schemas.openxmlformats.org/officeDocument/2006/relationships/hyperlink" Id="rId34" Target="https://www.youtube.com/watch?v=hLUGXO5DSpo" TargetMode="External" /><Relationship Type="http://schemas.openxmlformats.org/officeDocument/2006/relationships/hyperlink" Id="rId35" Target="https://www.youtube.com/watch?v=iAN7_656jfQ" TargetMode="External" /><Relationship Type="http://schemas.openxmlformats.org/officeDocument/2006/relationships/hyperlink" Id="rId32" Target="https://x.com/AIatMeta/status/2071566924803395741" TargetMode="External" /><Relationship Type="http://schemas.openxmlformats.org/officeDocument/2006/relationships/hyperlink" Id="rId37" Target="https://x.com/AIatMeta/status/2071566927420588162" TargetMode="External" /><Relationship Type="http://schemas.openxmlformats.org/officeDocument/2006/relationships/hyperlink" Id="rId38" Target="https://x.com/AIatMeta/status/2071566934571954326" TargetMode="External" /><Relationship Type="http://schemas.openxmlformats.org/officeDocument/2006/relationships/hyperlink" Id="rId39" Target="https://x.com/AIatMeta/status/20715812136772486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Governed AI Deployments Rise as U.S. Frontier Access Tightens and Meta Pushes Brain-to-Text</dc:title>
  <dc:creator>AI News Digest</dc:creator>
  <cp:keywords/>
  <dcterms:created xsi:type="dcterms:W3CDTF">2026-06-30T18:24:40Z</dcterms:created>
  <dcterms:modified xsi:type="dcterms:W3CDTF">2026-06-30T18:24:40Z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2026-06-30</vt:lpwstr>
  </property>
</Properties>
</file>