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GPT-5.4 rolls out broadly as coding agents, hybrid open models, and interpretability funding accelerate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2026-03-06</w:t>
      </w:r>
    </w:p>
    <w:bookmarkStart w:id="130" w:name="X9a8102814392bf13e3cd9fe05c07bee67093687"/>
    <w:p>
      <w:pPr>
        <w:pStyle w:val="Heading1"/>
      </w:pPr>
      <w:r>
        <w:t xml:space="preserve">GPT-5.4 rolls out broadly as coding agents, hybrid open models, and interpretability funding accelerate</w:t>
      </w:r>
    </w:p>
    <w:p>
      <w:pPr>
        <w:pStyle w:val="FirstParagraph"/>
      </w:pPr>
      <w:r>
        <w:rPr>
          <w:iCs/>
          <w:i/>
        </w:rPr>
        <w:t xml:space="preserve">By AI News Digest • March 6, 2026</w:t>
      </w:r>
    </w:p>
    <w:p>
      <w:pPr>
        <w:pStyle w:val="BodyText"/>
      </w:pPr>
      <w:r>
        <w:t xml:space="preserve">OpenAI rolled out GPT-5.4 (Thinking + Pro) across ChatGPT, the API, and Codex—highlighting steering mid-response, 1M-token context, and native computer use—alongside new safety research on chain-of-thought controllability. The digest also covers Cursor’s cloud agents workflow, Perplexity’s multi-model</w:t>
      </w:r>
      <w:r>
        <w:t xml:space="preserve"> </w:t>
      </w:r>
      <w:r>
        <w:t xml:space="preserve">“</w:t>
      </w:r>
      <w:r>
        <w:t xml:space="preserve">Model Council,</w:t>
      </w:r>
      <w:r>
        <w:t xml:space="preserve">”</w:t>
      </w:r>
      <w:r>
        <w:t xml:space="preserve"> </w:t>
      </w:r>
      <w:r>
        <w:t xml:space="preserve">AllenAI’s open Olmo Hybrid architecture release, Goodfire’s $150M fundraise, and fresh signals of agents moving into enterprise operations.</w:t>
      </w:r>
    </w:p>
    <w:bookmarkStart w:id="71" w:name="Xaa7211b326206155d0acee8a3ae7d4554341616"/>
    <w:p>
      <w:pPr>
        <w:pStyle w:val="Heading2"/>
      </w:pPr>
      <w:r>
        <w:t xml:space="preserve">OpenAI launches GPT-5.4 (Thinking + Pro) across ChatGPT, API, and Codex</w:t>
      </w:r>
    </w:p>
    <w:bookmarkStart w:id="35" w:name="gpt-5.4-roll-out-headline-capabilities"/>
    <w:p>
      <w:pPr>
        <w:pStyle w:val="Heading3"/>
      </w:pPr>
      <w:r>
        <w:t xml:space="preserve">GPT-5.4 roll-out + headline capabilities</w:t>
      </w:r>
    </w:p>
    <w:p>
      <w:pPr>
        <w:pStyle w:val="FirstParagraph"/>
      </w:pPr>
      <w:r>
        <w:t xml:space="preserve">OpenAI announced</w:t>
      </w:r>
      <w:r>
        <w:t xml:space="preserve"> </w:t>
      </w:r>
      <w:r>
        <w:rPr>
          <w:bCs/>
          <w:b/>
        </w:rPr>
        <w:t xml:space="preserve">GPT-5.4</w:t>
      </w:r>
      <w:r>
        <w:t xml:space="preserve"> </w:t>
      </w:r>
      <w:r>
        <w:t xml:space="preserve">is available now in the</w:t>
      </w:r>
      <w:r>
        <w:t xml:space="preserve"> </w:t>
      </w:r>
      <w:r>
        <w:rPr>
          <w:bCs/>
          <w:b/>
        </w:rPr>
        <w:t xml:space="preserve">API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Codex</w:t>
      </w:r>
      <w:r>
        <w:t xml:space="preserve">, with a</w:t>
      </w:r>
      <w:r>
        <w:t xml:space="preserve"> </w:t>
      </w:r>
      <w:r>
        <w:rPr>
          <w:bCs/>
          <w:b/>
        </w:rPr>
        <w:t xml:space="preserve">gradual rollout in ChatGPT</w:t>
      </w:r>
      <w:r>
        <w:t xml:space="preserve"> </w:t>
      </w:r>
      <w:r>
        <w:t xml:space="preserve">starting today</w:t>
      </w:r>
      <w:r>
        <w:t xml:space="preserve"> </w:t>
      </w:r>
      <w:r>
        <w:rPr>
          <w:rStyle w:val="FootnoteReference"/>
        </w:rPr>
        <w:footnoteReference w:id="20"/>
      </w:r>
      <w:r>
        <w:rPr>
          <w:rStyle w:val="FootnoteReference"/>
        </w:rPr>
        <w:footnoteReference w:id="22"/>
      </w:r>
      <w:r>
        <w:rPr>
          <w:rStyle w:val="FootnoteReference"/>
        </w:rPr>
        <w:footnoteReference w:id="24"/>
      </w:r>
      <w:r>
        <w:t xml:space="preserve">. OpenAI frames GPT-5.4 as combining advances in</w:t>
      </w:r>
      <w:r>
        <w:t xml:space="preserve"> </w:t>
      </w:r>
      <w:r>
        <w:rPr>
          <w:bCs/>
          <w:b/>
        </w:rPr>
        <w:t xml:space="preserve">reasoning, coding, and agentic workflows</w:t>
      </w:r>
      <w:r>
        <w:t xml:space="preserve"> </w:t>
      </w:r>
      <w:r>
        <w:t xml:space="preserve">into one frontier model</w:t>
      </w:r>
      <w:r>
        <w:t xml:space="preserve"> </w:t>
      </w:r>
      <w:r>
        <w:rPr>
          <w:rStyle w:val="FootnoteReference"/>
        </w:rPr>
        <w:footnoteReference w:id="26"/>
      </w:r>
      <w:r>
        <w:t xml:space="preserve">.</w:t>
      </w:r>
    </w:p>
    <w:p>
      <w:pPr>
        <w:pStyle w:val="BodyText"/>
      </w:pPr>
      <w:r>
        <w:t xml:space="preserve">Notable feature claims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Steering mid-response</w:t>
      </w:r>
      <w:r>
        <w:t xml:space="preserve"> </w:t>
      </w:r>
      <w:r>
        <w:t xml:space="preserve">(interrupt the model and adjust direction)</w:t>
      </w:r>
      <w:r>
        <w:t xml:space="preserve"> </w:t>
      </w:r>
      <w:r>
        <w:rPr>
          <w:rStyle w:val="FootnoteReference"/>
        </w:rPr>
        <w:footnoteReference w:id="27"/>
      </w:r>
      <w:r>
        <w:rPr>
          <w:rStyle w:val="FootnoteReference"/>
        </w:rPr>
        <w:footnoteReference w:id="29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1M tokens of context</w:t>
      </w:r>
      <w:r>
        <w:t xml:space="preserve"> </w:t>
      </w:r>
      <w:r>
        <w:rPr>
          <w:rStyle w:val="FootnoteReference"/>
        </w:rPr>
        <w:footnoteReference w:id="30"/>
      </w:r>
    </w:p>
    <w:p>
      <w:pPr>
        <w:numPr>
          <w:ilvl w:val="0"/>
          <w:numId w:val="1001"/>
        </w:numPr>
        <w:pStyle w:val="Compact"/>
      </w:pPr>
      <w:r>
        <w:t xml:space="preserve">Better performance on</w:t>
      </w:r>
      <w:r>
        <w:t xml:space="preserve"> </w:t>
      </w:r>
      <w:r>
        <w:rPr>
          <w:bCs/>
          <w:b/>
        </w:rPr>
        <w:t xml:space="preserve">knowledge work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web search</w:t>
      </w:r>
      <w:r>
        <w:t xml:space="preserve">, plus</w:t>
      </w:r>
      <w:r>
        <w:t xml:space="preserve"> </w:t>
      </w:r>
      <w:r>
        <w:rPr>
          <w:bCs/>
          <w:b/>
        </w:rPr>
        <w:t xml:space="preserve">native computer use</w:t>
      </w:r>
      <w:r>
        <w:t xml:space="preserve"> </w:t>
      </w:r>
      <w:r>
        <w:t xml:space="preserve">capabilities</w:t>
      </w:r>
      <w:r>
        <w:t xml:space="preserve"> </w:t>
      </w:r>
      <w:r>
        <w:rPr>
          <w:rStyle w:val="FootnoteReference"/>
        </w:rPr>
        <w:footnoteReference w:id="31"/>
      </w:r>
    </w:p>
    <w:p>
      <w:pPr>
        <w:numPr>
          <w:ilvl w:val="0"/>
          <w:numId w:val="1001"/>
        </w:numPr>
        <w:pStyle w:val="Compact"/>
      </w:pPr>
      <w:r>
        <w:t xml:space="preserve">“</w:t>
      </w:r>
      <w:r>
        <w:t xml:space="preserve">Most factual and efficient</w:t>
      </w:r>
      <w:r>
        <w:t xml:space="preserve">”</w:t>
      </w:r>
      <w:r>
        <w:t xml:space="preserve"> </w:t>
      </w:r>
      <w:r>
        <w:t xml:space="preserve">(OpenAI claims</w:t>
      </w:r>
      <w:r>
        <w:t xml:space="preserve"> </w:t>
      </w:r>
      <w:r>
        <w:rPr>
          <w:bCs/>
          <w:b/>
        </w:rPr>
        <w:t xml:space="preserve">fewer tokens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faster speed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32"/>
      </w:r>
    </w:p>
    <w:p>
      <w:pPr>
        <w:pStyle w:val="FirstParagraph"/>
      </w:pPr>
      <w:r>
        <w:t xml:space="preserve">Steering availability: OpenAI says steering is available</w:t>
      </w:r>
      <w:r>
        <w:t xml:space="preserve"> </w:t>
      </w:r>
      <w:r>
        <w:rPr>
          <w:bCs/>
          <w:b/>
        </w:rPr>
        <w:t xml:space="preserve">this week on Android and web</w:t>
      </w:r>
      <w:r>
        <w:t xml:space="preserve">, with</w:t>
      </w:r>
      <w:r>
        <w:t xml:space="preserve"> </w:t>
      </w:r>
      <w:r>
        <w:rPr>
          <w:bCs/>
          <w:b/>
        </w:rPr>
        <w:t xml:space="preserve">iOS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coming soon</w:t>
      </w:r>
      <w:r>
        <w:rPr>
          <w:bCs/>
          <w:b/>
        </w:rPr>
        <w:t xml:space="preserve">”</w:t>
      </w:r>
      <w:r>
        <w:t xml:space="preserve"> </w:t>
      </w:r>
      <w:r>
        <w:rPr>
          <w:rStyle w:val="FootnoteReference"/>
        </w:rPr>
        <w:footnoteReference w:id="33"/>
      </w:r>
      <w:r>
        <w:t xml:space="preserve">.</w:t>
      </w:r>
    </w:p>
    <w:p>
      <w:pPr>
        <w:pStyle w:val="BodyText"/>
      </w:pPr>
      <w:r>
        <w:t xml:space="preserve">Details: http://openai.com/index/introducing-gpt-5-4/</w:t>
      </w:r>
      <w:r>
        <w:t xml:space="preserve"> </w:t>
      </w:r>
      <w:r>
        <w:rPr>
          <w:rStyle w:val="FootnoteReference"/>
        </w:rPr>
        <w:footnoteReference w:id="34"/>
      </w:r>
    </w:p>
    <w:bookmarkEnd w:id="35"/>
    <w:bookmarkStart w:id="41" w:name="X97ac8a57da65ff640bc343cf399782e0c7948e4"/>
    <w:p>
      <w:pPr>
        <w:pStyle w:val="Heading3"/>
      </w:pPr>
      <w:r>
        <w:t xml:space="preserve">Codex updates: /fast mode + GPT-5.4 improvements for tool use and frontend work</w:t>
      </w:r>
    </w:p>
    <w:p>
      <w:pPr>
        <w:pStyle w:val="FirstParagraph"/>
      </w:pPr>
      <w:r>
        <w:t xml:space="preserve">Sam Altman also highlighted that</w:t>
      </w:r>
      <w:r>
        <w:t xml:space="preserve"> </w:t>
      </w:r>
      <w:r>
        <w:rPr>
          <w:bCs/>
          <w:b/>
        </w:rPr>
        <w:t xml:space="preserve">GPT-5.4 is introduced in Codex</w:t>
      </w:r>
      <w:r>
        <w:t xml:space="preserve"> </w:t>
      </w:r>
      <w:r>
        <w:t xml:space="preserve">with improved</w:t>
      </w:r>
      <w:r>
        <w:t xml:space="preserve"> </w:t>
      </w:r>
      <w:r>
        <w:rPr>
          <w:bCs/>
          <w:b/>
        </w:rPr>
        <w:t xml:space="preserve">token efficiency</w:t>
      </w:r>
      <w:r>
        <w:t xml:space="preserve"> </w:t>
      </w:r>
      <w:r>
        <w:t xml:space="preserve">and better</w:t>
      </w:r>
      <w:r>
        <w:t xml:space="preserve"> </w:t>
      </w:r>
      <w:r>
        <w:rPr>
          <w:bCs/>
          <w:b/>
        </w:rPr>
        <w:t xml:space="preserve">tool calling</w:t>
      </w:r>
      <w:r>
        <w:t xml:space="preserve">,</w:t>
      </w:r>
      <w:r>
        <w:t xml:space="preserve"> </w:t>
      </w:r>
      <w:r>
        <w:rPr>
          <w:bCs/>
          <w:b/>
        </w:rPr>
        <w:t xml:space="preserve">computer use</w:t>
      </w:r>
      <w:r>
        <w:t xml:space="preserve">, and</w:t>
      </w:r>
      <w:r>
        <w:t xml:space="preserve"> </w:t>
      </w:r>
      <w:r>
        <w:rPr>
          <w:bCs/>
          <w:b/>
        </w:rPr>
        <w:t xml:space="preserve">frontend development</w:t>
      </w:r>
      <w:r>
        <w:t xml:space="preserve"> </w:t>
      </w:r>
      <w:r>
        <w:rPr>
          <w:rStyle w:val="FootnoteReference"/>
        </w:rPr>
        <w:footnoteReference w:id="36"/>
      </w:r>
      <w:r>
        <w:t xml:space="preserve">. OpenAI is also introducing</w:t>
      </w:r>
      <w:r>
        <w:t xml:space="preserve"> </w:t>
      </w:r>
      <w:r>
        <w:rPr>
          <w:bCs/>
          <w:b/>
        </w:rPr>
        <w:t xml:space="preserve">/fast</w:t>
      </w:r>
      <w:r>
        <w:t xml:space="preserve"> </w:t>
      </w:r>
      <w:r>
        <w:t xml:space="preserve">for a faster version of Codex</w:t>
      </w:r>
      <w:r>
        <w:t xml:space="preserve"> </w:t>
      </w:r>
      <w:r>
        <w:rPr>
          <w:rStyle w:val="FootnoteReference"/>
        </w:rPr>
        <w:footnoteReference w:id="38"/>
      </w:r>
      <w:r>
        <w:rPr>
          <w:rStyle w:val="FootnoteReference"/>
        </w:rPr>
        <w:footnoteReference w:id="39"/>
      </w:r>
      <w:r>
        <w:t xml:space="preserve">.</w:t>
      </w:r>
    </w:p>
    <w:bookmarkEnd w:id="41"/>
    <w:bookmarkStart w:id="49" w:name="Xfd215e6f772e28e2bf802e69d0cbe9d9b3f4197"/>
    <w:p>
      <w:pPr>
        <w:pStyle w:val="Heading3"/>
      </w:pPr>
      <w:r>
        <w:t xml:space="preserve">Demo: computer use + frontend workflows (with self-testing efficiency claims)</w:t>
      </w:r>
    </w:p>
    <w:p>
      <w:pPr>
        <w:pStyle w:val="FirstParagraph"/>
      </w:pPr>
      <w:r>
        <w:t xml:space="preserve">In OpenAI’s GPT-5.4 Thinking demo, the model uses</w:t>
      </w:r>
      <w:r>
        <w:t xml:space="preserve"> </w:t>
      </w:r>
      <w:r>
        <w:rPr>
          <w:bCs/>
          <w:b/>
        </w:rPr>
        <w:t xml:space="preserve">CUA (computer use)</w:t>
      </w:r>
      <w:r>
        <w:t xml:space="preserve"> </w:t>
      </w:r>
      <w:r>
        <w:t xml:space="preserve">to test its own work (e.g., interacting with a</w:t>
      </w:r>
      <w:r>
        <w:t xml:space="preserve"> </w:t>
      </w:r>
      <w:r>
        <w:rPr>
          <w:bCs/>
          <w:b/>
        </w:rPr>
        <w:t xml:space="preserve">3D chess Electron app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42"/>
      </w:r>
      <w:r>
        <w:t xml:space="preserve">. The presenter claims token use has</w:t>
      </w:r>
      <w:r>
        <w:t xml:space="preserve"> </w:t>
      </w:r>
      <w:r>
        <w:rPr>
          <w:bCs/>
          <w:b/>
        </w:rPr>
        <w:t xml:space="preserve">dropped by 2/3</w:t>
      </w:r>
      <w:r>
        <w:t xml:space="preserve"> </w:t>
      </w:r>
      <w:r>
        <w:t xml:space="preserve">in some self-testing cases</w:t>
      </w:r>
      <w:r>
        <w:t xml:space="preserve"> </w:t>
      </w:r>
      <w:r>
        <w:rPr>
          <w:rStyle w:val="FootnoteReference"/>
        </w:rPr>
        <w:footnoteReference w:id="44"/>
      </w:r>
      <w:r>
        <w:t xml:space="preserve">.</w:t>
      </w:r>
    </w:p>
    <w:p>
      <w:pPr>
        <w:pStyle w:val="BodyText"/>
      </w:pPr>
      <w:hyperlink r:id="rId48">
        <w:r>
          <w:drawing>
            <wp:inline>
              <wp:extent cx="5334000" cy="4000500"/>
              <wp:effectExtent b="0" l="0" r="0" t="0"/>
              <wp:docPr descr="Computer Use &amp; Frontend UI with GPT-5.4 Thinking" title="" id="46" name="Picture"/>
              <a:graphic>
                <a:graphicData uri="http://schemas.openxmlformats.org/drawingml/2006/picture">
                  <pic:pic>
                    <pic:nvPicPr>
                      <pic:cNvPr descr="https://img.youtube.com/vi/YICiHiU2GBU/hqdefault.jpg" id="4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4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Computer Use &amp; Frontend UI with GPT-5.4 Thinking (0:41)</w:t>
      </w:r>
    </w:p>
    <w:bookmarkEnd w:id="49"/>
    <w:bookmarkStart w:id="56" w:name="Xc6b78b5de6ebf84052767964d9dfd50ef568655"/>
    <w:p>
      <w:pPr>
        <w:pStyle w:val="Heading3"/>
      </w:pPr>
      <w:r>
        <w:t xml:space="preserve">Windows: Codex app +</w:t>
      </w:r>
      <w:r>
        <w:t xml:space="preserve"> </w:t>
      </w:r>
      <w:r>
        <w:t xml:space="preserve">“</w:t>
      </w:r>
      <w:r>
        <w:t xml:space="preserve">Windows-native agent sandbox</w:t>
      </w:r>
      <w:r>
        <w:t xml:space="preserve">”</w:t>
      </w:r>
    </w:p>
    <w:p>
      <w:pPr>
        <w:pStyle w:val="FirstParagraph"/>
      </w:pPr>
      <w:r>
        <w:t xml:space="preserve">OpenAI says the</w:t>
      </w:r>
      <w:r>
        <w:t xml:space="preserve"> </w:t>
      </w:r>
      <w:r>
        <w:rPr>
          <w:bCs/>
          <w:b/>
        </w:rPr>
        <w:t xml:space="preserve">Codex app is now live on Windows</w:t>
      </w:r>
      <w:r>
        <w:t xml:space="preserve"> </w:t>
      </w:r>
      <w:r>
        <w:rPr>
          <w:rStyle w:val="FootnoteReference"/>
        </w:rPr>
        <w:footnoteReference w:id="50"/>
      </w:r>
      <w:r>
        <w:rPr>
          <w:rStyle w:val="FootnoteReference"/>
        </w:rPr>
        <w:footnoteReference w:id="52"/>
      </w:r>
      <w:r>
        <w:t xml:space="preserve">. The app can run</w:t>
      </w:r>
      <w:r>
        <w:t xml:space="preserve"> </w:t>
      </w:r>
      <w:r>
        <w:rPr>
          <w:bCs/>
          <w:b/>
        </w:rPr>
        <w:t xml:space="preserve">natively</w:t>
      </w:r>
      <w:r>
        <w:t xml:space="preserve"> </w:t>
      </w:r>
      <w:r>
        <w:t xml:space="preserve">or in</w:t>
      </w:r>
      <w:r>
        <w:t xml:space="preserve"> </w:t>
      </w:r>
      <w:r>
        <w:rPr>
          <w:bCs/>
          <w:b/>
        </w:rPr>
        <w:t xml:space="preserve">WSL</w:t>
      </w:r>
      <w:r>
        <w:t xml:space="preserve"> </w:t>
      </w:r>
      <w:r>
        <w:t xml:space="preserve">with integrated terminals (PowerShell, Command Prompt, Git Bash, or WSL)</w:t>
      </w:r>
      <w:r>
        <w:t xml:space="preserve"> </w:t>
      </w:r>
      <w:r>
        <w:rPr>
          <w:rStyle w:val="FootnoteReference"/>
        </w:rPr>
        <w:footnoteReference w:id="54"/>
      </w:r>
      <w:r>
        <w:t xml:space="preserve">.</w:t>
      </w:r>
    </w:p>
    <w:p>
      <w:pPr>
        <w:pStyle w:val="BodyText"/>
      </w:pPr>
      <w:r>
        <w:t xml:space="preserve">OpenAI also described a</w:t>
      </w:r>
      <w:r>
        <w:t xml:space="preserve"> </w:t>
      </w:r>
      <w:r>
        <w:rPr>
          <w:bCs/>
          <w:b/>
        </w:rPr>
        <w:t xml:space="preserve">Windows-native agent sandbox</w:t>
      </w:r>
      <w:r>
        <w:t xml:space="preserve"> </w:t>
      </w:r>
      <w:r>
        <w:t xml:space="preserve">with OS-level controls that block filesystem writes outside a working folder and prevent outbound network access unless explicitly approved</w:t>
      </w:r>
      <w:r>
        <w:t xml:space="preserve"> </w:t>
      </w:r>
      <w:r>
        <w:rPr>
          <w:rStyle w:val="FootnoteReference"/>
        </w:rPr>
        <w:footnoteReference w:id="55"/>
      </w:r>
      <w:r>
        <w:t xml:space="preserve">.</w:t>
      </w:r>
    </w:p>
    <w:bookmarkEnd w:id="56"/>
    <w:bookmarkStart w:id="61" w:name="Xcbfffe297b522d2e191d2ba4bd845b2cb5c37e4"/>
    <w:p>
      <w:pPr>
        <w:pStyle w:val="Heading3"/>
      </w:pPr>
      <w:r>
        <w:t xml:space="preserve">Safety research: Chain-of-Thought (CoT) controllability eval</w:t>
      </w:r>
    </w:p>
    <w:p>
      <w:pPr>
        <w:pStyle w:val="FirstParagraph"/>
      </w:pPr>
      <w:r>
        <w:t xml:space="preserve">OpenAI published a new</w:t>
      </w:r>
      <w:r>
        <w:t xml:space="preserve"> </w:t>
      </w:r>
      <w:r>
        <w:rPr>
          <w:bCs/>
          <w:b/>
        </w:rPr>
        <w:t xml:space="preserve">evaluation suite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research paper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Chain-of-Thought (CoT) Controllability</w:t>
      </w:r>
      <w:r>
        <w:t xml:space="preserve"> </w:t>
      </w:r>
      <w:r>
        <w:rPr>
          <w:rStyle w:val="FootnoteReference"/>
        </w:rPr>
        <w:footnoteReference w:id="57"/>
      </w:r>
      <w:r>
        <w:t xml:space="preserve">. The company reports that</w:t>
      </w:r>
      <w:r>
        <w:t xml:space="preserve"> </w:t>
      </w:r>
      <w:r>
        <w:rPr>
          <w:bCs/>
          <w:b/>
        </w:rPr>
        <w:t xml:space="preserve">GPT-5.4 Thinking shows low ability to obscure its reasoning</w:t>
      </w:r>
      <w:r>
        <w:t xml:space="preserve">, suggesting CoT monitoring remains a useful safety tool</w:t>
      </w:r>
      <w:r>
        <w:t xml:space="preserve"> </w:t>
      </w:r>
      <w:r>
        <w:rPr>
          <w:rStyle w:val="FootnoteReference"/>
        </w:rPr>
        <w:footnoteReference w:id="59"/>
      </w:r>
      <w:r>
        <w:t xml:space="preserve">.</w:t>
      </w:r>
    </w:p>
    <w:p>
      <w:pPr>
        <w:pStyle w:val="BodyText"/>
      </w:pPr>
      <w:r>
        <w:t xml:space="preserve">Paper: https://openai.com/index/reasoning-models-chain-of-thought-controllability/</w:t>
      </w:r>
      <w:r>
        <w:t xml:space="preserve"> </w:t>
      </w:r>
      <w:r>
        <w:rPr>
          <w:rStyle w:val="FootnoteReference"/>
        </w:rPr>
        <w:footnoteReference w:id="60"/>
      </w:r>
    </w:p>
    <w:bookmarkEnd w:id="61"/>
    <w:bookmarkStart w:id="70" w:name="X0d8df7e93a106f4cb832134cc7ad62f20dc0486"/>
    <w:p>
      <w:pPr>
        <w:pStyle w:val="Heading3"/>
      </w:pPr>
      <w:r>
        <w:t xml:space="preserve">Early tester feedback (including weaknesses flagged)</w:t>
      </w:r>
    </w:p>
    <w:p>
      <w:pPr>
        <w:pStyle w:val="FirstParagraph"/>
      </w:pPr>
      <w:r>
        <w:t xml:space="preserve">One tester wrote that after a week of testing, GPT-5.4 felt like</w:t>
      </w:r>
      <w:r>
        <w:t xml:space="preserve"> </w:t>
      </w:r>
      <w:r>
        <w:t xml:space="preserve">“</w:t>
      </w:r>
      <w:r>
        <w:t xml:space="preserve">the best model in the world</w:t>
      </w:r>
      <w:r>
        <w:t xml:space="preserve">”</w:t>
      </w:r>
      <w:r>
        <w:t xml:space="preserve"> </w:t>
      </w:r>
      <w:r>
        <w:t xml:space="preserve">and reduced their reliance on Pro modes</w:t>
      </w:r>
      <w:r>
        <w:t xml:space="preserve"> </w:t>
      </w:r>
      <w:r>
        <w:rPr>
          <w:rStyle w:val="FootnoteReference"/>
        </w:rPr>
        <w:footnoteReference w:id="62"/>
      </w:r>
      <w:r>
        <w:rPr>
          <w:rStyle w:val="FootnoteReference"/>
        </w:rPr>
        <w:footnoteReference w:id="64"/>
      </w:r>
      <w:r>
        <w:t xml:space="preserve">. The same thread praised coding reliability in Codex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 </w:t>
      </w:r>
      <w:r>
        <w:t xml:space="preserve">and speed improvements from using fewer reasoning tokens</w:t>
      </w:r>
      <w:r>
        <w:t xml:space="preserve"> </w:t>
      </w:r>
      <w:r>
        <w:rPr>
          <w:rStyle w:val="FootnoteReference"/>
        </w:rPr>
        <w:footnoteReference w:id="66"/>
      </w:r>
      <w:r>
        <w:t xml:space="preserve">.</w:t>
      </w:r>
    </w:p>
    <w:p>
      <w:pPr>
        <w:pStyle w:val="BodyText"/>
      </w:pPr>
      <w:r>
        <w:t xml:space="preserve">That tester also listed weaknesses:</w:t>
      </w:r>
      <w:r>
        <w:t xml:space="preserve"> </w:t>
      </w:r>
      <w:r>
        <w:t xml:space="preserve">“</w:t>
      </w:r>
      <w:r>
        <w:t xml:space="preserve">frontend taste</w:t>
      </w:r>
      <w:r>
        <w:t xml:space="preserve">”</w:t>
      </w:r>
      <w:r>
        <w:t xml:space="preserve"> </w:t>
      </w:r>
      <w:r>
        <w:t xml:space="preserve">lagging competitors, missing obvious real-world context in planning, and stopping short before finishing tasks in OpenClaw</w:t>
      </w:r>
      <w:r>
        <w:t xml:space="preserve"> </w:t>
      </w:r>
      <w:r>
        <w:rPr>
          <w:rStyle w:val="FootnoteReference"/>
        </w:rPr>
        <w:footnoteReference w:id="67"/>
      </w:r>
      <w:r>
        <w:t xml:space="preserve">. Sam Altman replied:</w:t>
      </w:r>
      <w:r>
        <w:t xml:space="preserve"> </w:t>
      </w:r>
      <w:r>
        <w:t xml:space="preserve">“</w:t>
      </w:r>
      <w:r>
        <w:t xml:space="preserve">We will be able to fix these three things!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8"/>
      </w:r>
      <w:r>
        <w:t xml:space="preserve">.</w:t>
      </w:r>
    </w:p>
    <w:bookmarkEnd w:id="70"/>
    <w:bookmarkEnd w:id="71"/>
    <w:bookmarkStart w:id="82" w:name="X89ff8aaa36a31a9c7fd1c15be728ff7be9a55c1"/>
    <w:p>
      <w:pPr>
        <w:pStyle w:val="Heading2"/>
      </w:pPr>
      <w:r>
        <w:t xml:space="preserve">Coding agents: Cursor’s cloud agents push toward test-and-video workflows</w:t>
      </w:r>
    </w:p>
    <w:p>
      <w:pPr>
        <w:pStyle w:val="FirstParagraph"/>
      </w:pPr>
      <w:r>
        <w:t xml:space="preserve">Cursor’s</w:t>
      </w:r>
      <w:r>
        <w:t xml:space="preserve"> </w:t>
      </w:r>
      <w:r>
        <w:t xml:space="preserve">“</w:t>
      </w:r>
      <w:r>
        <w:t xml:space="preserve">cloud agents</w:t>
      </w:r>
      <w:r>
        <w:t xml:space="preserve">”</w:t>
      </w:r>
      <w:r>
        <w:t xml:space="preserve"> </w:t>
      </w:r>
      <w:r>
        <w:t xml:space="preserve">are described as having surpassed tab-autocomplete usage internally, reinforcing the claim that</w:t>
      </w:r>
      <w:r>
        <w:t xml:space="preserve"> </w:t>
      </w:r>
      <w:r>
        <w:t xml:space="preserve">“</w:t>
      </w:r>
      <w:r>
        <w:t xml:space="preserve">the IDE is Dead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72"/>
      </w:r>
      <w:r>
        <w:t xml:space="preserve">. In this model, agents do more end-to-end work and return artifacts that are easier to review than raw diffs.</w:t>
      </w:r>
    </w:p>
    <w:p>
      <w:pPr>
        <w:pStyle w:val="BodyText"/>
      </w:pPr>
      <w:r>
        <w:t xml:space="preserve">Key product mechanics highlighted: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Automatic testing</w:t>
      </w:r>
      <w:r>
        <w:t xml:space="preserve"> </w:t>
      </w:r>
      <w:r>
        <w:t xml:space="preserve">of changes before PR submission (with calibrated prompting and a</w:t>
      </w:r>
      <w:r>
        <w:t xml:space="preserve"> </w:t>
      </w:r>
      <w:r>
        <w:rPr>
          <w:rStyle w:val="VerbatimChar"/>
        </w:rPr>
        <w:t xml:space="preserve">/no test</w:t>
      </w:r>
      <w:r>
        <w:t xml:space="preserve"> </w:t>
      </w:r>
      <w:r>
        <w:t xml:space="preserve">override)</w:t>
      </w:r>
      <w:r>
        <w:t xml:space="preserve"> </w:t>
      </w:r>
      <w:r>
        <w:rPr>
          <w:rStyle w:val="FootnoteReference"/>
        </w:rPr>
        <w:footnoteReference w:id="74"/>
      </w:r>
      <w:r>
        <w:rPr>
          <w:rStyle w:val="FootnoteReference"/>
        </w:rPr>
        <w:footnoteReference w:id="75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Demo videos</w:t>
      </w:r>
      <w:r>
        <w:t xml:space="preserve"> </w:t>
      </w:r>
      <w:r>
        <w:t xml:space="preserve">as an entry point for review, plus Storybook-style galleries</w:t>
      </w:r>
      <w:r>
        <w:t xml:space="preserve"> </w:t>
      </w:r>
      <w:r>
        <w:rPr>
          <w:rStyle w:val="FootnoteReference"/>
        </w:rPr>
        <w:footnoteReference w:id="76"/>
      </w:r>
      <w:r>
        <w:rPr>
          <w:rStyle w:val="FootnoteReference"/>
        </w:rPr>
        <w:footnoteReference w:id="77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Remote VM access</w:t>
      </w:r>
      <w:r>
        <w:t xml:space="preserve"> </w:t>
      </w:r>
      <w:r>
        <w:t xml:space="preserve">(VNC) for live interaction and iteration</w:t>
      </w:r>
      <w:r>
        <w:t xml:space="preserve"> </w:t>
      </w:r>
      <w:r>
        <w:rPr>
          <w:rStyle w:val="FootnoteReference"/>
        </w:rPr>
        <w:footnoteReference w:id="78"/>
      </w:r>
    </w:p>
    <w:p>
      <w:pPr>
        <w:numPr>
          <w:ilvl w:val="0"/>
          <w:numId w:val="1002"/>
        </w:numPr>
        <w:pStyle w:val="Compact"/>
      </w:pPr>
      <w:r>
        <w:t xml:space="preserve">A</w:t>
      </w:r>
      <w:r>
        <w:t xml:space="preserve"> </w:t>
      </w:r>
      <w:r>
        <w:rPr>
          <w:rStyle w:val="VerbatimChar"/>
        </w:rPr>
        <w:t xml:space="preserve">/repro</w:t>
      </w:r>
      <w:r>
        <w:t xml:space="preserve"> </w:t>
      </w:r>
      <w:r>
        <w:t xml:space="preserve">workflow for bug reproduction + fix verification with before/after videos</w:t>
      </w:r>
      <w:r>
        <w:t xml:space="preserve"> </w:t>
      </w:r>
      <w:r>
        <w:rPr>
          <w:rStyle w:val="FootnoteReference"/>
        </w:rPr>
        <w:footnoteReference w:id="79"/>
      </w:r>
    </w:p>
    <w:p>
      <w:pPr>
        <w:pStyle w:val="FirstParagraph"/>
      </w:pPr>
      <w:r>
        <w:t xml:space="preserve">The same discussion frames a near-term</w:t>
      </w:r>
      <w:r>
        <w:t xml:space="preserve"> </w:t>
      </w:r>
      <w:r>
        <w:t xml:space="preserve">“</w:t>
      </w:r>
      <w:r>
        <w:t xml:space="preserve">big unlock</w:t>
      </w:r>
      <w:r>
        <w:t xml:space="preserve">”</w:t>
      </w:r>
      <w:r>
        <w:t xml:space="preserve"> </w:t>
      </w:r>
      <w:r>
        <w:t xml:space="preserve">as widening throughput via</w:t>
      </w:r>
      <w:r>
        <w:t xml:space="preserve"> </w:t>
      </w:r>
      <w:r>
        <w:rPr>
          <w:bCs/>
          <w:b/>
        </w:rPr>
        <w:t xml:space="preserve">parallel agents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subagents</w:t>
      </w:r>
      <w:r>
        <w:t xml:space="preserve"> </w:t>
      </w:r>
      <w:r>
        <w:t xml:space="preserve">for context management and long-running threads</w:t>
      </w:r>
      <w:r>
        <w:t xml:space="preserve"> </w:t>
      </w:r>
      <w:r>
        <w:rPr>
          <w:rStyle w:val="FootnoteReference"/>
        </w:rPr>
        <w:footnoteReference w:id="80"/>
      </w:r>
      <w:r>
        <w:rPr>
          <w:rStyle w:val="FootnoteReference"/>
        </w:rPr>
        <w:footnoteReference w:id="81"/>
      </w:r>
      <w:r>
        <w:t xml:space="preserve">.</w:t>
      </w:r>
    </w:p>
    <w:bookmarkEnd w:id="82"/>
    <w:bookmarkStart w:id="86" w:name="X646339351b2d170791efdc189e3b2cf9113a748"/>
    <w:p>
      <w:pPr>
        <w:pStyle w:val="Heading2"/>
      </w:pPr>
      <w:r>
        <w:t xml:space="preserve">Multi-model orchestration: Perplexity adds</w:t>
      </w:r>
      <w:r>
        <w:t xml:space="preserve"> </w:t>
      </w:r>
      <w:r>
        <w:t xml:space="preserve">“</w:t>
      </w:r>
      <w:r>
        <w:t xml:space="preserve">Model Council</w:t>
      </w:r>
      <w:r>
        <w:t xml:space="preserve">”</w:t>
      </w:r>
      <w:r>
        <w:t xml:space="preserve"> </w:t>
      </w:r>
      <w:r>
        <w:t xml:space="preserve">to Perplexity Computer</w:t>
      </w:r>
    </w:p>
    <w:p>
      <w:pPr>
        <w:pStyle w:val="FirstParagraph"/>
      </w:pPr>
      <w:r>
        <w:t xml:space="preserve">Perplexity launched</w:t>
      </w:r>
      <w:r>
        <w:t xml:space="preserve"> </w:t>
      </w:r>
      <w:r>
        <w:rPr>
          <w:bCs/>
          <w:b/>
        </w:rPr>
        <w:t xml:space="preserve">Model Council</w:t>
      </w:r>
      <w:r>
        <w:t xml:space="preserve"> </w:t>
      </w:r>
      <w:r>
        <w:t xml:space="preserve">inside</w:t>
      </w:r>
      <w:r>
        <w:t xml:space="preserve"> </w:t>
      </w:r>
      <w:r>
        <w:rPr>
          <w:bCs/>
          <w:b/>
        </w:rPr>
        <w:t xml:space="preserve">Perplexity Computer</w:t>
      </w:r>
      <w:r>
        <w:t xml:space="preserve">, allowing users to run</w:t>
      </w:r>
      <w:r>
        <w:t xml:space="preserve"> </w:t>
      </w:r>
      <w:r>
        <w:rPr>
          <w:bCs/>
          <w:b/>
        </w:rPr>
        <w:t xml:space="preserve">GPT-5.4</w:t>
      </w:r>
      <w:r>
        <w:t xml:space="preserve">,</w:t>
      </w:r>
      <w:r>
        <w:t xml:space="preserve"> </w:t>
      </w:r>
      <w:r>
        <w:rPr>
          <w:bCs/>
          <w:b/>
        </w:rPr>
        <w:t xml:space="preserve">Claude Opus 4.6</w:t>
      </w:r>
      <w:r>
        <w:t xml:space="preserve">, and</w:t>
      </w:r>
      <w:r>
        <w:t xml:space="preserve"> </w:t>
      </w:r>
      <w:r>
        <w:rPr>
          <w:bCs/>
          <w:b/>
        </w:rPr>
        <w:t xml:space="preserve">Gemini 3.1 Pro</w:t>
      </w:r>
      <w:r>
        <w:t xml:space="preserve"> </w:t>
      </w:r>
      <w:r>
        <w:t xml:space="preserve">simultaneously and select an orchestrator model</w:t>
      </w:r>
      <w:r>
        <w:t xml:space="preserve"> </w:t>
      </w:r>
      <w:r>
        <w:rPr>
          <w:rStyle w:val="FootnoteReference"/>
        </w:rPr>
        <w:footnoteReference w:id="83"/>
      </w:r>
      <w:r>
        <w:t xml:space="preserve">. Perplexity’s positioning:</w:t>
      </w:r>
      <w:r>
        <w:t xml:space="preserve"> </w:t>
      </w:r>
      <w:r>
        <w:t xml:space="preserve">“</w:t>
      </w:r>
      <w:r>
        <w:t xml:space="preserve">Three frontier models. One workflow. Best answer wins.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85"/>
      </w:r>
    </w:p>
    <w:bookmarkEnd w:id="86"/>
    <w:bookmarkStart w:id="103" w:name="X659b9872c25ac4cde06e959f2a475be9b5214e4"/>
    <w:p>
      <w:pPr>
        <w:pStyle w:val="Heading2"/>
      </w:pPr>
      <w:r>
        <w:t xml:space="preserve">Open models and new architectures: AllenAI releases Olmo Hybrid (7B)</w:t>
      </w:r>
    </w:p>
    <w:p>
      <w:pPr>
        <w:pStyle w:val="FirstParagraph"/>
      </w:pPr>
      <w:r>
        <w:t xml:space="preserve">Allen AI released</w:t>
      </w:r>
      <w:r>
        <w:t xml:space="preserve"> </w:t>
      </w:r>
      <w:r>
        <w:rPr>
          <w:bCs/>
          <w:b/>
        </w:rPr>
        <w:t xml:space="preserve">Olmo Hybrid</w:t>
      </w:r>
      <w:r>
        <w:t xml:space="preserve">, a fully open</w:t>
      </w:r>
      <w:r>
        <w:t xml:space="preserve"> </w:t>
      </w:r>
      <w:r>
        <w:rPr>
          <w:bCs/>
          <w:b/>
        </w:rPr>
        <w:t xml:space="preserve">7B</w:t>
      </w:r>
      <w:r>
        <w:t xml:space="preserve"> </w:t>
      </w:r>
      <w:r>
        <w:t xml:space="preserve">model combining transformer and</w:t>
      </w:r>
      <w:r>
        <w:t xml:space="preserve"> </w:t>
      </w:r>
      <w:r>
        <w:rPr>
          <w:bCs/>
          <w:b/>
        </w:rPr>
        <w:t xml:space="preserve">linear RNN (gated delta net / GDN) layers</w:t>
      </w:r>
      <w:r>
        <w:t xml:space="preserve"> </w:t>
      </w:r>
      <w:r>
        <w:t xml:space="preserve">in a</w:t>
      </w:r>
      <w:r>
        <w:t xml:space="preserve"> </w:t>
      </w:r>
      <w:r>
        <w:rPr>
          <w:bCs/>
          <w:b/>
        </w:rPr>
        <w:t xml:space="preserve">3:1 ratio</w:t>
      </w:r>
      <w:r>
        <w:t xml:space="preserve"> </w:t>
      </w:r>
      <w:r>
        <w:t xml:space="preserve">with full attention</w:t>
      </w:r>
      <w:r>
        <w:t xml:space="preserve"> </w:t>
      </w:r>
      <w:r>
        <w:rPr>
          <w:rStyle w:val="FootnoteReference"/>
        </w:rPr>
        <w:footnoteReference w:id="87"/>
      </w:r>
      <w:r>
        <w:rPr>
          <w:rStyle w:val="FootnoteReference"/>
        </w:rPr>
        <w:footnoteReference w:id="89"/>
      </w:r>
      <w:r>
        <w:t xml:space="preserve">. AllenAI and commentary in Interconnects describe it as a strong artifact for studying hybrid architectures, with theory and scaling experiments accompanying the release</w:t>
      </w:r>
      <w:r>
        <w:t xml:space="preserve"> </w:t>
      </w:r>
      <w:r>
        <w:rPr>
          <w:rStyle w:val="FootnoteReference"/>
        </w:rPr>
        <w:footnoteReference w:id="91"/>
      </w:r>
      <w:r>
        <w:rPr>
          <w:rStyle w:val="FootnoteReference"/>
        </w:rPr>
        <w:footnoteReference w:id="93"/>
      </w:r>
      <w:r>
        <w:t xml:space="preserve">.</w:t>
      </w:r>
    </w:p>
    <w:p>
      <w:pPr>
        <w:pStyle w:val="BodyText"/>
      </w:pPr>
      <w:r>
        <w:t xml:space="preserve">Interconnects reports:</w:t>
      </w:r>
    </w:p>
    <w:p>
      <w:pPr>
        <w:numPr>
          <w:ilvl w:val="0"/>
          <w:numId w:val="1003"/>
        </w:numPr>
        <w:pStyle w:val="Compact"/>
      </w:pPr>
      <w:r>
        <w:t xml:space="preserve">Pretraining gains: about a</w:t>
      </w:r>
      <w:r>
        <w:t xml:space="preserve"> </w:t>
      </w:r>
      <w:r>
        <w:rPr>
          <w:bCs/>
          <w:b/>
        </w:rPr>
        <w:t xml:space="preserve">2× gain on training efficiency</w:t>
      </w:r>
      <w:r>
        <w:t xml:space="preserve"> </w:t>
      </w:r>
      <w:r>
        <w:t xml:space="preserve">vs. Olmo 3 dense</w:t>
      </w:r>
      <w:r>
        <w:t xml:space="preserve"> </w:t>
      </w:r>
      <w:r>
        <w:rPr>
          <w:rStyle w:val="FootnoteReference"/>
        </w:rPr>
        <w:footnoteReference w:id="94"/>
      </w:r>
    </w:p>
    <w:p>
      <w:pPr>
        <w:numPr>
          <w:ilvl w:val="0"/>
          <w:numId w:val="1003"/>
        </w:numPr>
        <w:pStyle w:val="Compact"/>
      </w:pPr>
      <w:r>
        <w:t xml:space="preserve">Post-training results: mixed (knowledge wins, reasoning losses vs. dense), but still a strong open model overall</w:t>
      </w:r>
      <w:r>
        <w:t xml:space="preserve"> </w:t>
      </w:r>
      <w:r>
        <w:rPr>
          <w:rStyle w:val="FootnoteReference"/>
        </w:rPr>
        <w:footnoteReference w:id="95"/>
      </w:r>
    </w:p>
    <w:p>
      <w:pPr>
        <w:numPr>
          <w:ilvl w:val="0"/>
          <w:numId w:val="1003"/>
        </w:numPr>
        <w:pStyle w:val="Compact"/>
      </w:pPr>
      <w:r>
        <w:t xml:space="preserve">Practical challenge: OSS tooling and long-context inference issues can negate efficiency gains in practice right now</w:t>
      </w:r>
      <w:r>
        <w:t xml:space="preserve"> </w:t>
      </w:r>
      <w:r>
        <w:rPr>
          <w:rStyle w:val="FootnoteReference"/>
        </w:rPr>
        <w:footnoteReference w:id="96"/>
      </w:r>
      <w:r>
        <w:rPr>
          <w:rStyle w:val="FootnoteReference"/>
        </w:rPr>
        <w:footnoteReference w:id="97"/>
      </w:r>
    </w:p>
    <w:p>
      <w:pPr>
        <w:pStyle w:val="FirstParagraph"/>
      </w:pPr>
      <w:r>
        <w:t xml:space="preserve">Resources:</w:t>
      </w:r>
    </w:p>
    <w:p>
      <w:pPr>
        <w:numPr>
          <w:ilvl w:val="0"/>
          <w:numId w:val="1004"/>
        </w:numPr>
        <w:pStyle w:val="Compact"/>
      </w:pPr>
      <w:r>
        <w:t xml:space="preserve">Paper: https://allenai.org/papers/olmo-hybrid</w:t>
      </w:r>
      <w:r>
        <w:t xml:space="preserve"> </w:t>
      </w:r>
      <w:r>
        <w:rPr>
          <w:rStyle w:val="FootnoteReference"/>
        </w:rPr>
        <w:footnoteReference w:id="98"/>
      </w:r>
    </w:p>
    <w:p>
      <w:pPr>
        <w:numPr>
          <w:ilvl w:val="0"/>
          <w:numId w:val="1004"/>
        </w:numPr>
        <w:pStyle w:val="Compact"/>
      </w:pPr>
      <w:r>
        <w:t xml:space="preserve">HF artifacts: https://huggingface.co/collections/allenai/olmo-hybrid</w:t>
      </w:r>
      <w:r>
        <w:t xml:space="preserve"> </w:t>
      </w:r>
      <w:r>
        <w:rPr>
          <w:rStyle w:val="FootnoteReference"/>
        </w:rPr>
        <w:footnoteReference w:id="100"/>
      </w:r>
    </w:p>
    <w:p>
      <w:pPr>
        <w:numPr>
          <w:ilvl w:val="0"/>
          <w:numId w:val="1004"/>
        </w:numPr>
        <w:pStyle w:val="Compact"/>
      </w:pPr>
      <w:r>
        <w:t xml:space="preserve">Analysis: https://www.interconnects.ai/p/olmo-hybrid-and-future-llm-architectures</w:t>
      </w:r>
      <w:r>
        <w:t xml:space="preserve"> </w:t>
      </w:r>
      <w:r>
        <w:rPr>
          <w:rStyle w:val="FootnoteReference"/>
        </w:rPr>
        <w:footnoteReference w:id="101"/>
      </w:r>
    </w:p>
    <w:bookmarkEnd w:id="103"/>
    <w:bookmarkStart w:id="109" w:name="X010226c100816d642c12f1df225115a0de630b5"/>
    <w:p>
      <w:pPr>
        <w:pStyle w:val="Heading2"/>
      </w:pPr>
      <w:r>
        <w:t xml:space="preserve">Research workflow shift: Karpathy’s nanochat gets faster—and agents iterate on it autonomously</w:t>
      </w:r>
    </w:p>
    <w:p>
      <w:pPr>
        <w:pStyle w:val="FirstParagraph"/>
      </w:pPr>
      <w:r>
        <w:t xml:space="preserve">Andrej Karpathy reported nanochat can now train a GPT-2-capability model in</w:t>
      </w:r>
      <w:r>
        <w:t xml:space="preserve"> </w:t>
      </w:r>
      <w:r>
        <w:rPr>
          <w:bCs/>
          <w:b/>
        </w:rPr>
        <w:t xml:space="preserve">2 hours</w:t>
      </w:r>
      <w:r>
        <w:t xml:space="preserve"> </w:t>
      </w:r>
      <w:r>
        <w:t xml:space="preserve">on a single</w:t>
      </w:r>
      <w:r>
        <w:t xml:space="preserve"> </w:t>
      </w:r>
      <w:r>
        <w:rPr>
          <w:bCs/>
          <w:b/>
        </w:rPr>
        <w:t xml:space="preserve">8×H100</w:t>
      </w:r>
      <w:r>
        <w:t xml:space="preserve"> </w:t>
      </w:r>
      <w:r>
        <w:t xml:space="preserve">node (down from ~3 hours a month ago), largely due to switching from FineWeb-edu to</w:t>
      </w:r>
      <w:r>
        <w:t xml:space="preserve"> </w:t>
      </w:r>
      <w:r>
        <w:rPr>
          <w:bCs/>
          <w:b/>
        </w:rPr>
        <w:t xml:space="preserve">NVIDIA ClimbMix</w:t>
      </w:r>
      <w:r>
        <w:t xml:space="preserve"> </w:t>
      </w:r>
      <w:r>
        <w:rPr>
          <w:rStyle w:val="FootnoteReference"/>
        </w:rPr>
        <w:footnoteReference w:id="104"/>
      </w:r>
      <w:r>
        <w:t xml:space="preserve">.</w:t>
      </w:r>
    </w:p>
    <w:p>
      <w:pPr>
        <w:pStyle w:val="BodyText"/>
      </w:pPr>
      <w:r>
        <w:t xml:space="preserve">He also described</w:t>
      </w:r>
      <w:r>
        <w:t xml:space="preserve"> </w:t>
      </w:r>
      <w:r>
        <w:rPr>
          <w:bCs/>
          <w:b/>
        </w:rPr>
        <w:t xml:space="preserve">AI agents automatically iterating on nanochat</w:t>
      </w:r>
      <w:r>
        <w:t xml:space="preserve">, making</w:t>
      </w:r>
      <w:r>
        <w:t xml:space="preserve"> </w:t>
      </w:r>
      <w:r>
        <w:rPr>
          <w:bCs/>
          <w:b/>
        </w:rPr>
        <w:t xml:space="preserve">110 changes</w:t>
      </w:r>
      <w:r>
        <w:t xml:space="preserve"> </w:t>
      </w:r>
      <w:r>
        <w:t xml:space="preserve">over ~12 hours and improving validation loss from</w:t>
      </w:r>
      <w:r>
        <w:t xml:space="preserve"> </w:t>
      </w:r>
      <w:r>
        <w:rPr>
          <w:bCs/>
          <w:b/>
        </w:rPr>
        <w:t xml:space="preserve">0.862415 → 0.858039</w:t>
      </w:r>
      <w:r>
        <w:t xml:space="preserve"> </w:t>
      </w:r>
      <w:r>
        <w:t xml:space="preserve">for a d12 model without increasing wall-clock time (feature branch experimentation + merge when ideas work)</w:t>
      </w:r>
      <w:r>
        <w:t xml:space="preserve"> </w:t>
      </w:r>
      <w:r>
        <w:rPr>
          <w:rStyle w:val="FootnoteReference"/>
        </w:rPr>
        <w:footnoteReference w:id="106"/>
      </w:r>
      <w:r>
        <w:t xml:space="preserve">. Karpathy later framed the</w:t>
      </w:r>
      <w:r>
        <w:t xml:space="preserve"> </w:t>
      </w:r>
      <w:r>
        <w:t xml:space="preserve">“</w:t>
      </w:r>
      <w:r>
        <w:t xml:space="preserve">new meta</w:t>
      </w:r>
      <w:r>
        <w:t xml:space="preserve">”</w:t>
      </w:r>
      <w:r>
        <w:t xml:space="preserve"> </w:t>
      </w:r>
      <w:r>
        <w:t xml:space="preserve">benchmark as: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what is the research org agent code that produces improvements on nanochat the fastest?</w:t>
      </w:r>
      <w:r>
        <w:rPr>
          <w:iCs/>
          <w:i/>
        </w:rPr>
        <w:t xml:space="preserve">”</w:t>
      </w:r>
      <w:r>
        <w:t xml:space="preserve"> </w:t>
      </w:r>
      <w:r>
        <w:rPr>
          <w:rStyle w:val="FootnoteReference"/>
        </w:rPr>
        <w:footnoteReference w:id="107"/>
      </w:r>
      <w:r>
        <w:t xml:space="preserve">.</w:t>
      </w:r>
    </w:p>
    <w:bookmarkEnd w:id="109"/>
    <w:bookmarkStart w:id="114" w:name="X50881b31462e3e714f844f3f5da59fb04a40d22"/>
    <w:p>
      <w:pPr>
        <w:pStyle w:val="Heading2"/>
      </w:pPr>
      <w:r>
        <w:t xml:space="preserve">Interpretability funding +</w:t>
      </w:r>
      <w:r>
        <w:t xml:space="preserve"> </w:t>
      </w:r>
      <w:r>
        <w:t xml:space="preserve">“</w:t>
      </w:r>
      <w:r>
        <w:t xml:space="preserve">Intentional Design</w:t>
      </w:r>
      <w:r>
        <w:t xml:space="preserve">”</w:t>
      </w:r>
      <w:r>
        <w:t xml:space="preserve">: Goodfire raises $150M Series B</w:t>
      </w:r>
    </w:p>
    <w:p>
      <w:pPr>
        <w:pStyle w:val="FirstParagraph"/>
      </w:pPr>
      <w:r>
        <w:t xml:space="preserve">Mechanistic interpretability startup</w:t>
      </w:r>
      <w:r>
        <w:t xml:space="preserve"> </w:t>
      </w:r>
      <w:r>
        <w:rPr>
          <w:bCs/>
          <w:b/>
        </w:rPr>
        <w:t xml:space="preserve">Goodfire</w:t>
      </w:r>
      <w:r>
        <w:t xml:space="preserve"> </w:t>
      </w:r>
      <w:r>
        <w:t xml:space="preserve">announced a</w:t>
      </w:r>
      <w:r>
        <w:t xml:space="preserve"> </w:t>
      </w:r>
      <w:r>
        <w:rPr>
          <w:bCs/>
          <w:b/>
        </w:rPr>
        <w:t xml:space="preserve">$150M Series B</w:t>
      </w:r>
      <w:r>
        <w:t xml:space="preserve"> </w:t>
      </w:r>
      <w:r>
        <w:t xml:space="preserve">at a</w:t>
      </w:r>
      <w:r>
        <w:t xml:space="preserve"> </w:t>
      </w:r>
      <w:r>
        <w:rPr>
          <w:bCs/>
          <w:b/>
        </w:rPr>
        <w:t xml:space="preserve">$1.25B valuation</w:t>
      </w:r>
      <w:r>
        <w:t xml:space="preserve">, less than 2 years after founding</w:t>
      </w:r>
      <w:r>
        <w:t xml:space="preserve"> </w:t>
      </w:r>
      <w:r>
        <w:rPr>
          <w:rStyle w:val="FootnoteReference"/>
        </w:rPr>
        <w:footnoteReference w:id="110"/>
      </w:r>
      <w:r>
        <w:t xml:space="preserve">. Alongside the raise, the company introduced</w:t>
      </w:r>
      <w:r>
        <w:t xml:space="preserve"> </w:t>
      </w:r>
      <w:r>
        <w:rPr>
          <w:bCs/>
          <w:b/>
        </w:rPr>
        <w:t xml:space="preserve">Intentional Design</w:t>
      </w:r>
      <w:r>
        <w:t xml:space="preserve">: complementing reverse engineering with an approach focused on shaping the</w:t>
      </w:r>
      <w:r>
        <w:t xml:space="preserve"> </w:t>
      </w:r>
      <w:r>
        <w:rPr>
          <w:bCs/>
          <w:b/>
        </w:rPr>
        <w:t xml:space="preserve">loss landscape</w:t>
      </w:r>
      <w:r>
        <w:t xml:space="preserve"> </w:t>
      </w:r>
      <w:r>
        <w:t xml:space="preserve">to influence what models learn and how they generalize</w:t>
      </w:r>
      <w:r>
        <w:t xml:space="preserve"> </w:t>
      </w:r>
      <w:r>
        <w:rPr>
          <w:rStyle w:val="FootnoteReference"/>
        </w:rPr>
        <w:footnoteReference w:id="112"/>
      </w:r>
      <w:r>
        <w:t xml:space="preserve">.</w:t>
      </w:r>
    </w:p>
    <w:p>
      <w:pPr>
        <w:pStyle w:val="BodyText"/>
      </w:pPr>
      <w:r>
        <w:t xml:space="preserve">One proof-of-concept described is hallucination reduction using a probe trained to detect hallucinations for both</w:t>
      </w:r>
      <w:r>
        <w:t xml:space="preserve"> </w:t>
      </w:r>
      <w:r>
        <w:rPr>
          <w:bCs/>
          <w:b/>
        </w:rPr>
        <w:t xml:space="preserve">runtime steering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RL reward signals</w:t>
      </w:r>
      <w:r>
        <w:t xml:space="preserve">, with a key training trick: run the probe on a</w:t>
      </w:r>
      <w:r>
        <w:t xml:space="preserve"> </w:t>
      </w:r>
      <w:r>
        <w:rPr>
          <w:bCs/>
          <w:b/>
        </w:rPr>
        <w:t xml:space="preserve">frozen copy</w:t>
      </w:r>
      <w:r>
        <w:t xml:space="preserve"> </w:t>
      </w:r>
      <w:r>
        <w:t xml:space="preserve">of the model to reduce incentives/ability to evade the detector during training</w:t>
      </w:r>
      <w:r>
        <w:t xml:space="preserve"> </w:t>
      </w:r>
      <w:r>
        <w:rPr>
          <w:rStyle w:val="FootnoteReference"/>
        </w:rPr>
        <w:footnoteReference w:id="113"/>
      </w:r>
      <w:r>
        <w:t xml:space="preserve">.</w:t>
      </w:r>
    </w:p>
    <w:bookmarkEnd w:id="114"/>
    <w:bookmarkStart w:id="121" w:name="X0f15930cb98dcda62f69aa158bbebe6d4a7bdd8"/>
    <w:p>
      <w:pPr>
        <w:pStyle w:val="Heading2"/>
      </w:pPr>
      <w:r>
        <w:t xml:space="preserve">Enterprise adoption notes: MUFG + Sakana AI lending agent moves to real-case testing; Microsoft updates Dragon Copilot</w:t>
      </w:r>
    </w:p>
    <w:p>
      <w:pPr>
        <w:pStyle w:val="FirstParagraph"/>
      </w:pPr>
      <w:r>
        <w:t xml:space="preserve">Sakana AI and Mitsubishi UFJ Bank (MUFG) advanced their</w:t>
      </w:r>
      <w:r>
        <w:t xml:space="preserve"> </w:t>
      </w:r>
      <w:r>
        <w:t xml:space="preserve">“</w:t>
      </w:r>
      <w:r>
        <w:rPr>
          <w:bCs/>
          <w:b/>
        </w:rPr>
        <w:t xml:space="preserve">AI Lending Expert</w:t>
      </w:r>
      <w:r>
        <w:t xml:space="preserve">”</w:t>
      </w:r>
      <w:r>
        <w:t xml:space="preserve"> </w:t>
      </w:r>
      <w:r>
        <w:t xml:space="preserve">agent system from a ~6-month PoC to a</w:t>
      </w:r>
      <w:r>
        <w:t xml:space="preserve"> </w:t>
      </w:r>
      <w:r>
        <w:rPr>
          <w:bCs/>
          <w:b/>
        </w:rPr>
        <w:t xml:space="preserve">real-case verification phase</w:t>
      </w:r>
      <w:r>
        <w:t xml:space="preserve">, following their 2025 comprehensive partnership announcement</w:t>
      </w:r>
      <w:r>
        <w:t xml:space="preserve"> </w:t>
      </w:r>
      <w:r>
        <w:rPr>
          <w:rStyle w:val="FootnoteReference"/>
        </w:rPr>
        <w:footnoteReference w:id="115"/>
      </w:r>
      <w:r>
        <w:rPr>
          <w:rStyle w:val="FootnoteReference"/>
        </w:rPr>
        <w:footnoteReference w:id="117"/>
      </w:r>
      <w:r>
        <w:t xml:space="preserve">.</w:t>
      </w:r>
    </w:p>
    <w:p>
      <w:pPr>
        <w:pStyle w:val="BodyText"/>
      </w:pPr>
      <w:r>
        <w:t xml:space="preserve">Microsoft announced</w:t>
      </w:r>
      <w:r>
        <w:t xml:space="preserve"> </w:t>
      </w:r>
      <w:r>
        <w:t xml:space="preserve">“</w:t>
      </w:r>
      <w:r>
        <w:t xml:space="preserve">big updates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Dragon Copilot</w:t>
      </w:r>
      <w:r>
        <w:t xml:space="preserve"> </w:t>
      </w:r>
      <w:r>
        <w:t xml:space="preserve">at HIMSS, introducing</w:t>
      </w:r>
      <w:r>
        <w:t xml:space="preserve"> </w:t>
      </w:r>
      <w:r>
        <w:rPr>
          <w:bCs/>
          <w:b/>
        </w:rPr>
        <w:t xml:space="preserve">Work IQ</w:t>
      </w:r>
      <w:r>
        <w:t xml:space="preserve"> </w:t>
      </w:r>
      <w:r>
        <w:t xml:space="preserve">to bring the right work context alongside patient data, aiming to reduce admin busywork and let clinicians focus more on patients</w:t>
      </w:r>
      <w:r>
        <w:t xml:space="preserve"> </w:t>
      </w:r>
      <w:r>
        <w:rPr>
          <w:rStyle w:val="FootnoteReference"/>
        </w:rPr>
        <w:footnoteReference w:id="119"/>
      </w:r>
      <w:r>
        <w:t xml:space="preserve">.</w:t>
      </w:r>
    </w:p>
    <w:bookmarkEnd w:id="121"/>
    <w:bookmarkStart w:id="129" w:name="X9e021cdb4ba74e942c23ee09f0106350361fb36"/>
    <w:p>
      <w:pPr>
        <w:pStyle w:val="Heading2"/>
      </w:pPr>
      <w:r>
        <w:t xml:space="preserve">Two cautionary notes circulating: benchmarks and moral-reasoning behavior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Benchmark noise:</w:t>
      </w:r>
      <w:r>
        <w:t xml:space="preserve"> </w:t>
      </w:r>
      <w:r>
        <w:t xml:space="preserve">swyx cautioned against a viral claim that Claude Opus 4.6 had its</w:t>
      </w:r>
      <w:r>
        <w:t xml:space="preserve"> </w:t>
      </w:r>
      <w:r>
        <w:t xml:space="preserve">“</w:t>
      </w:r>
      <w:r>
        <w:t xml:space="preserve">worst benchmark day,</w:t>
      </w:r>
      <w:r>
        <w:t xml:space="preserve">”</w:t>
      </w:r>
      <w:r>
        <w:t xml:space="preserve"> </w:t>
      </w:r>
      <w:r>
        <w:t xml:space="preserve">pointing out that the SWE-bench author does not endorse</w:t>
      </w:r>
      <w:r>
        <w:t xml:space="preserve"> </w:t>
      </w:r>
      <w:r>
        <w:t xml:space="preserve">“</w:t>
      </w:r>
      <w:r>
        <w:t xml:space="preserve">cheap sample</w:t>
      </w:r>
      <w:r>
        <w:t xml:space="preserve">”</w:t>
      </w:r>
      <w:r>
        <w:t xml:space="preserve"> </w:t>
      </w:r>
      <w:r>
        <w:t xml:space="preserve">benchmarks and arguing</w:t>
      </w:r>
      <w:r>
        <w:t xml:space="preserve"> </w:t>
      </w:r>
      <w:r>
        <w:rPr>
          <w:bCs/>
          <w:b/>
        </w:rPr>
        <w:t xml:space="preserve">30–60× more compute</w:t>
      </w:r>
      <w:r>
        <w:t xml:space="preserve"> </w:t>
      </w:r>
      <w:r>
        <w:t xml:space="preserve">is needed for statistically meaningful results</w:t>
      </w:r>
      <w:r>
        <w:t xml:space="preserve"> </w:t>
      </w:r>
      <w:r>
        <w:rPr>
          <w:rStyle w:val="FootnoteReference"/>
        </w:rPr>
        <w:footnoteReference w:id="122"/>
      </w:r>
      <w:r>
        <w:rPr>
          <w:rStyle w:val="FootnoteReference"/>
        </w:rPr>
        <w:footnoteReference w:id="124"/>
      </w:r>
      <w:r>
        <w:t xml:space="preserve">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Moral-reasoning oddities:</w:t>
      </w:r>
      <w:r>
        <w:t xml:space="preserve"> </w:t>
      </w:r>
      <w:r>
        <w:t xml:space="preserve">Gary Marcus amplified a study thread reporting that GPT answered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to torturing a woman to prevent a nuclear apocalypse but</w:t>
      </w:r>
      <w:r>
        <w:t xml:space="preserve"> </w:t>
      </w:r>
      <w:r>
        <w:t xml:space="preserve">“</w:t>
      </w:r>
      <w:r>
        <w:t xml:space="preserve">absolutely not</w:t>
      </w:r>
      <w:r>
        <w:t xml:space="preserve">”</w:t>
      </w:r>
      <w:r>
        <w:t xml:space="preserve"> </w:t>
      </w:r>
      <w:r>
        <w:t xml:space="preserve">to harassing a woman in the same scenario—described as a reversal that appeared only when the target was a woman</w:t>
      </w:r>
      <w:r>
        <w:t xml:space="preserve"> </w:t>
      </w:r>
      <w:r>
        <w:rPr>
          <w:rStyle w:val="FootnoteReference"/>
        </w:rPr>
        <w:footnoteReference w:id="125"/>
      </w:r>
      <w:r>
        <w:t xml:space="preserve">. The thread argues this may reflect mechanical overgeneralization from RLHF rather than reasoning about underlying harms</w:t>
      </w:r>
      <w:r>
        <w:t xml:space="preserve"> </w:t>
      </w:r>
      <w:r>
        <w:rPr>
          <w:rStyle w:val="FootnoteReference"/>
        </w:rPr>
        <w:footnoteReference w:id="127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12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6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6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6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@ah20im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Computer Use &amp; Frontend UI with GPT-5.4 Thinking</w:t>
        </w:r>
      </w:hyperlink>
    </w:p>
    <w:p>
      <w:pPr>
        <w:numPr>
          <w:ilvl w:val="0"/>
          <w:numId w:val="1006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6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@ajambrosino</w:t>
        </w:r>
      </w:hyperlink>
    </w:p>
    <w:p>
      <w:pPr>
        <w:numPr>
          <w:ilvl w:val="0"/>
          <w:numId w:val="1006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6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@mattshumer_</w:t>
        </w:r>
      </w:hyperlink>
    </w:p>
    <w:p>
      <w:pPr>
        <w:numPr>
          <w:ilvl w:val="0"/>
          <w:numId w:val="1006"/>
        </w:numPr>
        <w:pStyle w:val="Compact"/>
      </w:pPr>
      <w:hyperlink r:id="rId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6"/>
        </w:numPr>
        <w:pStyle w:val="Compact"/>
      </w:pPr>
      <w:hyperlink r:id="rId73">
        <w:r>
          <w:rPr>
            <w:rStyle w:val="Hyperlink"/>
          </w:rPr>
          <w:t xml:space="preserve">Cursor’s Third Era: Cloud Agents</w:t>
        </w:r>
      </w:hyperlink>
    </w:p>
    <w:p>
      <w:pPr>
        <w:numPr>
          <w:ilvl w:val="0"/>
          <w:numId w:val="1006"/>
        </w:numPr>
        <w:pStyle w:val="Compact"/>
      </w:pPr>
      <w:hyperlink r:id="rId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@AskPerplexity</w:t>
        </w:r>
      </w:hyperlink>
    </w:p>
    <w:p>
      <w:pPr>
        <w:numPr>
          <w:ilvl w:val="0"/>
          <w:numId w:val="1006"/>
        </w:numPr>
        <w:pStyle w:val="Compact"/>
      </w:pPr>
      <w:hyperlink r:id="rId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@allen_ai</w:t>
        </w:r>
      </w:hyperlink>
    </w:p>
    <w:p>
      <w:pPr>
        <w:numPr>
          <w:ilvl w:val="0"/>
          <w:numId w:val="1006"/>
        </w:numPr>
        <w:pStyle w:val="Compact"/>
      </w:pP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  <w:p>
      <w:pPr>
        <w:numPr>
          <w:ilvl w:val="0"/>
          <w:numId w:val="1006"/>
        </w:numPr>
        <w:pStyle w:val="Compact"/>
      </w:pPr>
      <w:hyperlink r:id="rId92">
        <w:r>
          <w:rPr>
            <w:rStyle w:val="Hyperlink"/>
          </w:rPr>
          <w:t xml:space="preserve">Olmo Hybrid and future LLM architectures</w:t>
        </w:r>
      </w:hyperlink>
    </w:p>
    <w:p>
      <w:pPr>
        <w:numPr>
          <w:ilvl w:val="0"/>
          <w:numId w:val="1006"/>
        </w:numPr>
        <w:pStyle w:val="Compact"/>
      </w:pPr>
      <w:hyperlink r:id="rId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  <w:p>
      <w:pPr>
        <w:numPr>
          <w:ilvl w:val="0"/>
          <w:numId w:val="1006"/>
        </w:numPr>
        <w:pStyle w:val="Compact"/>
      </w:pPr>
      <w:hyperlink r:id="rId1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  <w:p>
      <w:pPr>
        <w:numPr>
          <w:ilvl w:val="0"/>
          <w:numId w:val="1006"/>
        </w:numPr>
        <w:pStyle w:val="Compact"/>
      </w:pP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06"/>
        </w:numPr>
        <w:pStyle w:val="Compact"/>
      </w:pPr>
      <w:hyperlink r:id="rId1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06"/>
        </w:numPr>
        <w:pStyle w:val="Compact"/>
      </w:pPr>
      <w:hyperlink r:id="rId111">
        <w:r>
          <w:rPr>
            <w:rStyle w:val="Hyperlink"/>
          </w:rPr>
          <w:t xml:space="preserve">Don’t Fight Backprop: Goodfire’s Vision for Intentional Design, w/ Dan Balsam &amp; Tom McGrath</w:t>
        </w:r>
      </w:hyperlink>
    </w:p>
    <w:p>
      <w:pPr>
        <w:numPr>
          <w:ilvl w:val="0"/>
          <w:numId w:val="1006"/>
        </w:numPr>
        <w:pStyle w:val="Compact"/>
      </w:pP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6"/>
        </w:numPr>
        <w:pStyle w:val="Compact"/>
      </w:pPr>
      <w:hyperlink r:id="rId11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@hardmaru</w:t>
        </w:r>
      </w:hyperlink>
    </w:p>
    <w:p>
      <w:pPr>
        <w:numPr>
          <w:ilvl w:val="0"/>
          <w:numId w:val="1006"/>
        </w:numPr>
        <w:pStyle w:val="Compact"/>
      </w:pPr>
      <w:hyperlink r:id="rId1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  <w:p>
      <w:pPr>
        <w:numPr>
          <w:ilvl w:val="0"/>
          <w:numId w:val="1006"/>
        </w:numPr>
        <w:pStyle w:val="Compact"/>
      </w:pPr>
      <w:hyperlink r:id="rId1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6"/>
        </w:numPr>
        <w:pStyle w:val="Compact"/>
      </w:pPr>
      <w:hyperlink r:id="rId1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@ValerioCapraro</w:t>
        </w:r>
      </w:hyperlink>
    </w:p>
    <w:bookmarkEnd w:id="128"/>
    <w:bookmarkEnd w:id="129"/>
    <w:bookmarkEnd w:id="1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@ah20im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@ah20im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Computer Use &amp; Frontend UI with GPT-5.4 Thinking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Computer Use &amp; Frontend UI with GPT-5.4 Thinking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@ajambrosino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@ajambrosino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@ajambrosino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@mattshumer_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@mattshumer_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@mattshumer_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@mattshumer_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@mattshumer_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Cursor’s Third Era: Cloud Agents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Cursor’s Third Era: Cloud Agents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Cursor’s Third Era: Cloud Agents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Cursor’s Third Era: Cloud Agents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Cursor’s Third Era: Cloud Agents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Cursor’s Third Era: Cloud Agents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Cursor’s Third Era: Cloud Agents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Cursor’s Third Era: Cloud Agents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Cursor’s Third Era: Cloud Agents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@AskPerplexity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@AskPerplexity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@allen_ai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Olmo Hybrid and future LLM architectures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Olmo Hybrid and future LLM architectures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Olmo Hybrid and future LLM architectures</w:t>
        </w:r>
      </w:hyperlink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Olmo Hybrid and future LLM architectures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Olmo Hybrid and future LLM architectures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Olmo Hybrid and future LLM architectures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1">
        <w:r>
          <w:rPr>
            <w:rStyle w:val="Hyperlink"/>
          </w:rPr>
          <w:t xml:space="preserve">Don’t Fight Backprop: Goodfire’s Vision for Intentional Design, w/ Dan Balsam &amp; Tom McGrath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1">
        <w:r>
          <w:rPr>
            <w:rStyle w:val="Hyperlink"/>
          </w:rPr>
          <w:t xml:space="preserve">Don’t Fight Backprop: Goodfire’s Vision for Intentional Design, w/ Dan Balsam &amp; Tom McGrath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1">
        <w:r>
          <w:rPr>
            <w:rStyle w:val="Hyperlink"/>
          </w:rPr>
          <w:t xml:space="preserve">Don’t Fight Backprop: Goodfire’s Vision for Intentional Design, w/ Dan Balsam &amp; Tom McGrath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@hardmaru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</w:footnote>
  <w:footnote w:id="1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@ValerioCapraro</w:t>
        </w:r>
      </w:hyperlink>
    </w:p>
  </w:footnote>
  <w:footnote w:id="1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@ValerioCapraro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5" Target="media/rId45.jpg" /><Relationship Type="http://schemas.openxmlformats.org/officeDocument/2006/relationships/hyperlink" Id="rId111" Target="https://www.cognitiverevolution.ai/don-t-fight-backprop-goodfire-s-vision-for-intentional-design-w-dan-balsam-tom-mcgrath-newsletter" TargetMode="External" /><Relationship Type="http://schemas.openxmlformats.org/officeDocument/2006/relationships/hyperlink" Id="rId92" Target="https://www.interconnects.ai/p/olmo-hybrid-and-future-llm-architectures" TargetMode="External" /><Relationship Type="http://schemas.openxmlformats.org/officeDocument/2006/relationships/hyperlink" Id="rId73" Target="https://www.latent.space/p/cursor-third-era" TargetMode="External" /><Relationship Type="http://schemas.openxmlformats.org/officeDocument/2006/relationships/hyperlink" Id="rId43" Target="https://www.youtube.com/watch?v=YICiHiU2GBU" TargetMode="External" /><Relationship Type="http://schemas.openxmlformats.org/officeDocument/2006/relationships/hyperlink" Id="rId84" Target="https://x.com/AskPerplexity/status/2029715318084600043" TargetMode="External" /><Relationship Type="http://schemas.openxmlformats.org/officeDocument/2006/relationships/hyperlink" Id="rId25" Target="https://x.com/OpenAI/status/2029620619743219811" TargetMode="External" /><Relationship Type="http://schemas.openxmlformats.org/officeDocument/2006/relationships/hyperlink" Id="rId28" Target="https://x.com/OpenAI/status/2029620623199326334" TargetMode="External" /><Relationship Type="http://schemas.openxmlformats.org/officeDocument/2006/relationships/hyperlink" Id="rId23" Target="https://x.com/OpenAI/status/2029620624923189283" TargetMode="External" /><Relationship Type="http://schemas.openxmlformats.org/officeDocument/2006/relationships/hyperlink" Id="rId58" Target="https://x.com/OpenAI/status/2029650046002811280" TargetMode="External" /><Relationship Type="http://schemas.openxmlformats.org/officeDocument/2006/relationships/hyperlink" Id="rId116" Target="https://x.com/SakanaAILabs/status/2029742198959558813" TargetMode="External" /><Relationship Type="http://schemas.openxmlformats.org/officeDocument/2006/relationships/hyperlink" Id="rId126" Target="https://x.com/ValerioCapraro/status/2029593915674771457" TargetMode="External" /><Relationship Type="http://schemas.openxmlformats.org/officeDocument/2006/relationships/hyperlink" Id="rId37" Target="https://x.com/ah20im/status/2029622170448712061" TargetMode="External" /><Relationship Type="http://schemas.openxmlformats.org/officeDocument/2006/relationships/hyperlink" Id="rId53" Target="https://x.com/ajambrosino/status/2029252598851879265" TargetMode="External" /><Relationship Type="http://schemas.openxmlformats.org/officeDocument/2006/relationships/hyperlink" Id="rId88" Target="https://x.com/allen_ai/status/2029591872612561189" TargetMode="External" /><Relationship Type="http://schemas.openxmlformats.org/officeDocument/2006/relationships/hyperlink" Id="rId118" Target="https://x.com/hardmaru/status/2029746054862922067" TargetMode="External" /><Relationship Type="http://schemas.openxmlformats.org/officeDocument/2006/relationships/hyperlink" Id="rId105" Target="https://x.com/karpathy/status/2029701092347630069" TargetMode="External" /><Relationship Type="http://schemas.openxmlformats.org/officeDocument/2006/relationships/hyperlink" Id="rId108" Target="https://x.com/karpathy/status/2029702379034267985" TargetMode="External" /><Relationship Type="http://schemas.openxmlformats.org/officeDocument/2006/relationships/hyperlink" Id="rId63" Target="https://x.com/mattshumer_/status/2029620518249508950" TargetMode="External" /><Relationship Type="http://schemas.openxmlformats.org/officeDocument/2006/relationships/hyperlink" Id="rId90" Target="https://x.com/natolambert/status/2029595053694628221" TargetMode="External" /><Relationship Type="http://schemas.openxmlformats.org/officeDocument/2006/relationships/hyperlink" Id="rId102" Target="https://x.com/natolambert/status/2029595239913312678" TargetMode="External" /><Relationship Type="http://schemas.openxmlformats.org/officeDocument/2006/relationships/hyperlink" Id="rId99" Target="https://x.com/natolambert/status/2029595434164126184" TargetMode="External" /><Relationship Type="http://schemas.openxmlformats.org/officeDocument/2006/relationships/hyperlink" Id="rId21" Target="https://x.com/sama/status/2029622732594499630" TargetMode="External" /><Relationship Type="http://schemas.openxmlformats.org/officeDocument/2006/relationships/hyperlink" Id="rId51" Target="https://x.com/sama/status/2029623487007183274" TargetMode="External" /><Relationship Type="http://schemas.openxmlformats.org/officeDocument/2006/relationships/hyperlink" Id="rId40" Target="https://x.com/sama/status/2029623948980416681" TargetMode="External" /><Relationship Type="http://schemas.openxmlformats.org/officeDocument/2006/relationships/hyperlink" Id="rId69" Target="https://x.com/sama/status/2029627696314208257" TargetMode="External" /><Relationship Type="http://schemas.openxmlformats.org/officeDocument/2006/relationships/hyperlink" Id="rId120" Target="https://x.com/satyanadella/status/2029623352844054549" TargetMode="External" /><Relationship Type="http://schemas.openxmlformats.org/officeDocument/2006/relationships/hyperlink" Id="rId123" Target="https://x.com/swyx/status/2029688456650297573" TargetMode="External" /><Relationship Type="http://schemas.openxmlformats.org/officeDocument/2006/relationships/hyperlink" Id="rId48" Target="https://youtube.com/watch?v=YICiHiU2GBU&amp;t=4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11" Target="https://www.cognitiverevolution.ai/don-t-fight-backprop-goodfire-s-vision-for-intentional-design-w-dan-balsam-tom-mcgrath-newsletter" TargetMode="External" /><Relationship Type="http://schemas.openxmlformats.org/officeDocument/2006/relationships/hyperlink" Id="rId92" Target="https://www.interconnects.ai/p/olmo-hybrid-and-future-llm-architectures" TargetMode="External" /><Relationship Type="http://schemas.openxmlformats.org/officeDocument/2006/relationships/hyperlink" Id="rId73" Target="https://www.latent.space/p/cursor-third-era" TargetMode="External" /><Relationship Type="http://schemas.openxmlformats.org/officeDocument/2006/relationships/hyperlink" Id="rId43" Target="https://www.youtube.com/watch?v=YICiHiU2GBU" TargetMode="External" /><Relationship Type="http://schemas.openxmlformats.org/officeDocument/2006/relationships/hyperlink" Id="rId84" Target="https://x.com/AskPerplexity/status/2029715318084600043" TargetMode="External" /><Relationship Type="http://schemas.openxmlformats.org/officeDocument/2006/relationships/hyperlink" Id="rId25" Target="https://x.com/OpenAI/status/2029620619743219811" TargetMode="External" /><Relationship Type="http://schemas.openxmlformats.org/officeDocument/2006/relationships/hyperlink" Id="rId28" Target="https://x.com/OpenAI/status/2029620623199326334" TargetMode="External" /><Relationship Type="http://schemas.openxmlformats.org/officeDocument/2006/relationships/hyperlink" Id="rId23" Target="https://x.com/OpenAI/status/2029620624923189283" TargetMode="External" /><Relationship Type="http://schemas.openxmlformats.org/officeDocument/2006/relationships/hyperlink" Id="rId58" Target="https://x.com/OpenAI/status/2029650046002811280" TargetMode="External" /><Relationship Type="http://schemas.openxmlformats.org/officeDocument/2006/relationships/hyperlink" Id="rId116" Target="https://x.com/SakanaAILabs/status/2029742198959558813" TargetMode="External" /><Relationship Type="http://schemas.openxmlformats.org/officeDocument/2006/relationships/hyperlink" Id="rId126" Target="https://x.com/ValerioCapraro/status/2029593915674771457" TargetMode="External" /><Relationship Type="http://schemas.openxmlformats.org/officeDocument/2006/relationships/hyperlink" Id="rId37" Target="https://x.com/ah20im/status/2029622170448712061" TargetMode="External" /><Relationship Type="http://schemas.openxmlformats.org/officeDocument/2006/relationships/hyperlink" Id="rId53" Target="https://x.com/ajambrosino/status/2029252598851879265" TargetMode="External" /><Relationship Type="http://schemas.openxmlformats.org/officeDocument/2006/relationships/hyperlink" Id="rId88" Target="https://x.com/allen_ai/status/2029591872612561189" TargetMode="External" /><Relationship Type="http://schemas.openxmlformats.org/officeDocument/2006/relationships/hyperlink" Id="rId118" Target="https://x.com/hardmaru/status/2029746054862922067" TargetMode="External" /><Relationship Type="http://schemas.openxmlformats.org/officeDocument/2006/relationships/hyperlink" Id="rId105" Target="https://x.com/karpathy/status/2029701092347630069" TargetMode="External" /><Relationship Type="http://schemas.openxmlformats.org/officeDocument/2006/relationships/hyperlink" Id="rId108" Target="https://x.com/karpathy/status/2029702379034267985" TargetMode="External" /><Relationship Type="http://schemas.openxmlformats.org/officeDocument/2006/relationships/hyperlink" Id="rId63" Target="https://x.com/mattshumer_/status/2029620518249508950" TargetMode="External" /><Relationship Type="http://schemas.openxmlformats.org/officeDocument/2006/relationships/hyperlink" Id="rId90" Target="https://x.com/natolambert/status/2029595053694628221" TargetMode="External" /><Relationship Type="http://schemas.openxmlformats.org/officeDocument/2006/relationships/hyperlink" Id="rId102" Target="https://x.com/natolambert/status/2029595239913312678" TargetMode="External" /><Relationship Type="http://schemas.openxmlformats.org/officeDocument/2006/relationships/hyperlink" Id="rId99" Target="https://x.com/natolambert/status/2029595434164126184" TargetMode="External" /><Relationship Type="http://schemas.openxmlformats.org/officeDocument/2006/relationships/hyperlink" Id="rId21" Target="https://x.com/sama/status/2029622732594499630" TargetMode="External" /><Relationship Type="http://schemas.openxmlformats.org/officeDocument/2006/relationships/hyperlink" Id="rId51" Target="https://x.com/sama/status/2029623487007183274" TargetMode="External" /><Relationship Type="http://schemas.openxmlformats.org/officeDocument/2006/relationships/hyperlink" Id="rId40" Target="https://x.com/sama/status/2029623948980416681" TargetMode="External" /><Relationship Type="http://schemas.openxmlformats.org/officeDocument/2006/relationships/hyperlink" Id="rId69" Target="https://x.com/sama/status/2029627696314208257" TargetMode="External" /><Relationship Type="http://schemas.openxmlformats.org/officeDocument/2006/relationships/hyperlink" Id="rId120" Target="https://x.com/satyanadella/status/2029623352844054549" TargetMode="External" /><Relationship Type="http://schemas.openxmlformats.org/officeDocument/2006/relationships/hyperlink" Id="rId123" Target="https://x.com/swyx/status/2029688456650297573" TargetMode="External" /><Relationship Type="http://schemas.openxmlformats.org/officeDocument/2006/relationships/hyperlink" Id="rId48" Target="https://youtube.com/watch?v=YICiHiU2GBU&amp;t=4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GPT-5.4 rolls out broadly as coding agents, hybrid open models, and interpretability funding accelerate</dc:title>
  <dc:creator>AI News Digest</dc:creator>
  <cp:keywords/>
  <dcterms:created xsi:type="dcterms:W3CDTF">2026-03-07T03:55:23Z</dcterms:created>
  <dcterms:modified xsi:type="dcterms:W3CDTF">2026-03-07T03:55:23Z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2026-03-06</vt:lpwstr>
  </property>
</Properties>
</file>