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Grassroots Bitcoin Spending Expands While the Payment Stack Hardens Under Attack</w:t>
      </w:r>
    </w:p>
    <w:p>
      <w:pPr>
        <w:pStyle w:val="Author"/>
      </w:pPr>
      <w:r>
        <w:t xml:space="preserve">Bitcoin Payment Adoption Tracker</w:t>
      </w:r>
    </w:p>
    <w:p>
      <w:pPr>
        <w:pStyle w:val="Date"/>
      </w:pPr>
      <w:r>
        <w:t xml:space="preserve">2026-08-09</w:t>
      </w:r>
    </w:p>
    <w:bookmarkStart w:id="46" w:name="X678e5842c71b84ff7da64ff420d17115d42e99f"/>
    <w:p>
      <w:pPr>
        <w:pStyle w:val="Heading1"/>
      </w:pPr>
      <w:r>
        <w:t xml:space="preserve">Grassroots Bitcoin Spending Expands While the Payment Stack Hardens Under Attack</w:t>
      </w:r>
    </w:p>
    <w:p>
      <w:pPr>
        <w:pStyle w:val="FirstParagraph"/>
      </w:pPr>
      <w:r>
        <w:rPr>
          <w:iCs/>
          <w:i/>
        </w:rPr>
        <w:t xml:space="preserve">By Bitcoin Payment Adoption Tracker • August 9, 2026</w:t>
      </w:r>
    </w:p>
    <w:p>
      <w:pPr>
        <w:pStyle w:val="BodyText"/>
      </w:pPr>
      <w:r>
        <w:t xml:space="preserve">The period pairs completed Bitcoin purchases and new community merchant endpoints with continuing BTCPay fallout, AI-led security work, and a live L402 usage signal.</w:t>
      </w:r>
    </w:p>
    <w:bookmarkStart w:id="20" w:name="major-adoption-news"/>
    <w:p>
      <w:pPr>
        <w:pStyle w:val="Heading2"/>
      </w:pPr>
      <w:r>
        <w:t xml:space="preserve">Major Adoption News</w:t>
      </w:r>
    </w:p>
    <w:p>
      <w:pPr>
        <w:pStyle w:val="FirstParagraph"/>
      </w:pPr>
      <w:r>
        <w:rPr>
          <w:bCs/>
          <w:b/>
        </w:rPr>
        <w:t xml:space="preserve">Community use produced several concrete point-of-sale payments rather than acceptance claims alone.</w:t>
      </w:r>
      <w:r>
        <w:t xml:space="preserve"> </w:t>
      </w:r>
      <w:r>
        <w:t xml:space="preserve">Bitcoin Ekasi described a first visit to Blaize &amp; Barrel where the visitor paid with Bitcoin using a self-hosted BTCPay Server and a Bolt Card; the post gives no amount, location, or repeat-use measure. [1] BTC Shule reported that a mother bought soap with Bitcoin through Fedi, linking the merchant’s Blink address and BTC Map record; the linked record identifies Kwa Jiyeve in Winteko, shows a Lightning acceptance icon, and associates the listing with BTC Shule. [2, 3] In Calabar, a community post reported lunch paid over Lightning; the linked record identifies Chef Green Signature Local Cusine Hub at Atekong Junction and shows both Lightning and Bitcoin acceptance. [4, 5]</w:t>
      </w:r>
    </w:p>
    <w:p>
      <w:pPr>
        <w:pStyle w:val="BodyText"/>
      </w:pPr>
      <w:r>
        <w:t xml:space="preserve">These reports are stronger evidence of payment viability than directory listings or educational claims, but they remain isolated anecdotes: none states transaction value, frequency, or repeat use. [1, 2, 4]</w:t>
      </w:r>
    </w:p>
    <w:p>
      <w:pPr>
        <w:pStyle w:val="BodyText"/>
      </w:pPr>
      <w:r>
        <w:rPr>
          <w:bCs/>
          <w:b/>
        </w:rPr>
        <w:t xml:space="preserve">New merchant onboarding continued in everyday food and retail.</w:t>
      </w:r>
      <w:r>
        <w:t xml:space="preserve"> </w:t>
      </w:r>
      <w:r>
        <w:t xml:space="preserve">Bitcoin Babies announced Bobo’s Chicken Bites as a new Bitcoin merchant in Kenya and supplied a Lightning address; its BTC Map record shows Lightning acceptance. [6, 7] Bitcoin Dua’s post supplied a merchant Blink address for Agbozume; the linked record identifies Antitor Provision Store opposite Agbozume Market, shows both Bitcoin and Lightning acceptance, and ties the listing to the Bitcoin Dua community. [8, 9] These are useful payment endpoints, but the announcements do not report completed transactions.</w:t>
      </w:r>
    </w:p>
    <w:bookmarkEnd w:id="20"/>
    <w:bookmarkStart w:id="21" w:name="payment-infrastructure"/>
    <w:p>
      <w:pPr>
        <w:pStyle w:val="Heading2"/>
      </w:pPr>
      <w:r>
        <w:t xml:space="preserve">Payment Infrastructure</w:t>
      </w:r>
    </w:p>
    <w:p>
      <w:pPr>
        <w:pStyle w:val="FirstParagraph"/>
      </w:pPr>
      <w:r>
        <w:rPr>
          <w:bCs/>
          <w:b/>
        </w:rPr>
        <w:t xml:space="preserve">The BTCPay incident continued to create availability and remediation costs for operators.</w:t>
      </w:r>
      <w:r>
        <w:t xml:space="preserve"> </w:t>
      </w:r>
      <w:r>
        <w:t xml:space="preserve">A follow-up post reported that LunaNode had disabled access to all BTCPay instances it hosted until users upgraded, while another follow-up published two addresses linked to exploits of vulnerable BTCPay instances. [10, 11] BTCPay’s advisory says the exploited path involved exposed LND</w:t>
      </w:r>
      <w:r>
        <w:t xml:space="preserve"> </w:t>
      </w:r>
      <w:r>
        <w:rPr>
          <w:rStyle w:val="VerbatimChar"/>
        </w:rPr>
        <w:t xml:space="preserve">.macaroon</w:t>
      </w:r>
      <w:r>
        <w:t xml:space="preserve"> </w:t>
      </w:r>
      <w:r>
        <w:t xml:space="preserve">credentials; the risk applied specifically to LND deployments, while BTCPay’s on-chain and hot wallets were not affected. [12] Version 2.4.2 also temporarily removed public LND API access on Docker deployments, preventing an external wallet such as Zeus from connecting through a BTCPay domain or Tor address. [12] For merchants, patching therefore affects both custody risk and payment connectivity.</w:t>
      </w:r>
    </w:p>
    <w:p>
      <w:pPr>
        <w:pStyle w:val="BodyText"/>
      </w:pPr>
      <w:r>
        <w:rPr>
          <w:bCs/>
          <w:b/>
        </w:rPr>
        <w:t xml:space="preserve">Security work broadened from one emergency patch into ecosystem-wide hardening.</w:t>
      </w:r>
      <w:r>
        <w:t xml:space="preserve"> </w:t>
      </w:r>
      <w:r>
        <w:t xml:space="preserve">Blink’s weekly brief said AI-assisted attacks forced Boltz offline, briefly took Satora down, and prompted BTCPay’s emergency patch; it also listed AI red-team scans across 150 repositories. [13, 14] A related Bitcoin Red Team update said 25 developers had worked for 108 hours, scanning 501 projects and producing 7,958 findings, including 1,280 rated high or critical; 29.4% of findings had been reported to projects. [15, 16, 17] These figures measure defensive activity, not payment adoption, but they make software assurance a direct operating concern for self-hosted merchants and Lightning services.</w:t>
      </w:r>
    </w:p>
    <w:bookmarkEnd w:id="21"/>
    <w:bookmarkStart w:id="22" w:name="regulatory-landscape"/>
    <w:p>
      <w:pPr>
        <w:pStyle w:val="Heading2"/>
      </w:pPr>
      <w:r>
        <w:t xml:space="preserve">Regulatory Landscape</w:t>
      </w:r>
    </w:p>
    <w:p>
      <w:pPr>
        <w:pStyle w:val="FirstParagraph"/>
      </w:pPr>
      <w:r>
        <w:t xml:space="preserve">No substantiated country-specific legal-tender, tax, licensing, or transaction-rule change was surfaced in the reviewed current-period material. The practical constraint this period was infrastructure security and service availability rather than a reported change in payment law.</w:t>
      </w:r>
    </w:p>
    <w:bookmarkEnd w:id="22"/>
    <w:bookmarkStart w:id="23" w:name="usage-metrics"/>
    <w:p>
      <w:pPr>
        <w:pStyle w:val="Heading2"/>
      </w:pPr>
      <w:r>
        <w:t xml:space="preserve">Usage Metrics</w:t>
      </w:r>
    </w:p>
    <w:p>
      <w:pPr>
        <w:pStyle w:val="FirstParagraph"/>
      </w:pPr>
      <w:r>
        <w:t xml:space="preserve">Lightning Enable reported that, over the previous 30 days, its protected routes served</w:t>
      </w:r>
      <w:r>
        <w:t xml:space="preserve"> </w:t>
      </w:r>
      <w:r>
        <w:rPr>
          <w:bCs/>
          <w:b/>
        </w:rPr>
        <w:t xml:space="preserve">18,947 payment challenges across 147 resources</w:t>
      </w:r>
      <w:r>
        <w:t xml:space="preserve">, describing L402 as running in production rather than as a demo. [18] This is a meaningful payment-gate activity signal, but it is not a disclosed count of settled Bitcoin transactions, sat volume, or active payers.</w:t>
      </w:r>
    </w:p>
    <w:p>
      <w:pPr>
        <w:pStyle w:val="BodyText"/>
      </w:pPr>
      <w:r>
        <w:t xml:space="preserve">Blink’s weekly brief listed BTC Map at</w:t>
      </w:r>
      <w:r>
        <w:t xml:space="preserve"> </w:t>
      </w:r>
      <w:r>
        <w:rPr>
          <w:bCs/>
          <w:b/>
        </w:rPr>
        <w:t xml:space="preserve">26,575 merchants</w:t>
      </w:r>
      <w:r>
        <w:t xml:space="preserve">. The post provides no methodology or active-status definition, so the figure is best treated as a directory snapshot rather than a measure of transacting merchants. [14] The period’s direct-use evidence remains event-level: one restaurant payment, one soap purchase, and one lunch payment, with no amounts or aggregate transaction counts reported. [1, 2, 4]</w:t>
      </w:r>
    </w:p>
    <w:bookmarkEnd w:id="23"/>
    <w:bookmarkStart w:id="24" w:name="emerging-markets"/>
    <w:p>
      <w:pPr>
        <w:pStyle w:val="Heading2"/>
      </w:pPr>
      <w:r>
        <w:t xml:space="preserve">Emerging Markets</w:t>
      </w:r>
    </w:p>
    <w:p>
      <w:pPr>
        <w:pStyle w:val="FirstParagraph"/>
      </w:pPr>
      <w:r>
        <w:rPr>
          <w:bCs/>
          <w:b/>
        </w:rPr>
        <w:t xml:space="preserve">Local food, household retail, and community education are the clearest expansion pattern.</w:t>
      </w:r>
      <w:r>
        <w:t xml:space="preserve"> </w:t>
      </w:r>
      <w:r>
        <w:t xml:space="preserve">Kenya adds a chicken takeaway with a Lightning endpoint; Agbozume adds a provision store accepting both Bitcoin and Lightning; Winteko adds a BTC Shule-linked household purchase and Lightning merchant listing; and Calabar adds food-service use with both rails listed. [6, 7, 9, 2, 3, 4, 5] The pattern shows payment access being attached to ordinary local commerce, but not yet measured scale.</w:t>
      </w:r>
    </w:p>
    <w:p>
      <w:pPr>
        <w:pStyle w:val="BodyText"/>
      </w:pPr>
      <w:r>
        <w:rPr>
          <w:bCs/>
          <w:b/>
        </w:rPr>
        <w:t xml:space="preserve">De Rust / Bitcoin Karoo is building an adoption pipeline around a venue.</w:t>
      </w:r>
      <w:r>
        <w:t xml:space="preserve"> </w:t>
      </w:r>
      <w:r>
        <w:t xml:space="preserve">De Rust Tennisklub was presented as the hub for a Bitcoin Karoo Education Block, combining a bitcoin-only tennis club, a children’s tennis and Bitcoin academy, entrepreneurial education, and a bitcoin-only coffee shop. [19] This links education, a local merchant setting, and community infrastructure; it is a pipeline for future usage rather than evidence of current payment volume.</w:t>
      </w:r>
    </w:p>
    <w:bookmarkEnd w:id="24"/>
    <w:bookmarkStart w:id="45" w:name="adoption-outlook"/>
    <w:p>
      <w:pPr>
        <w:pStyle w:val="Heading2"/>
      </w:pPr>
      <w:r>
        <w:t xml:space="preserve">Adoption Outlook</w:t>
      </w:r>
    </w:p>
    <w:p>
      <w:pPr>
        <w:pStyle w:val="FirstParagraph"/>
      </w:pPr>
      <w:r>
        <w:t xml:space="preserve">The period supports a stronger grassroots-use signal: Bitcoin was reported in completed restaurant, household, and lunch purchases, while new food and retail endpoints appeared in Kenya, Agbozume, Winteko, and Calabar. [1, 2, 4, 6, 9] At the same time, BTCPay access restrictions, temporary API changes, and AI-linked security incidents show that reliability and operator security remain binding constraints on self-hosted payment infrastructure. [10, 12, 13] The defensible conclusion is broadening experimentation with several instances of real use—not scaled or repeat adoption, for which the corpus still provides no aggregate volume or retention measure. [18, 14, 1, 2, 4]</w:t>
      </w:r>
    </w:p>
    <w:p>
      <w:r>
        <w:pict>
          <v:rect style="width:0;height:1.5pt" o:hralign="center" o:hrstd="t" o:hr="t"/>
        </w:pict>
      </w:r>
    </w:p>
    <w:bookmarkStart w:id="44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1"/>
        </w:numPr>
        <w:pStyle w:val="Compact"/>
      </w:pPr>
      <w:hyperlink r:id="rId2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@BitcoinEkasi</w:t>
        </w:r>
      </w:hyperlink>
    </w:p>
    <w:p>
      <w:pPr>
        <w:numPr>
          <w:ilvl w:val="0"/>
          <w:numId w:val="1001"/>
        </w:numPr>
        <w:pStyle w:val="Compact"/>
      </w:pPr>
      <w:hyperlink r:id="rId2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@btcshule</w:t>
        </w:r>
      </w:hyperlink>
    </w:p>
    <w:p>
      <w:pPr>
        <w:numPr>
          <w:ilvl w:val="0"/>
          <w:numId w:val="1001"/>
        </w:numPr>
        <w:pStyle w:val="Compact"/>
      </w:pPr>
      <w:hyperlink r:id="rId27">
        <w:r>
          <w:rPr>
            <w:rStyle w:val="Hyperlink"/>
          </w:rPr>
          <w:t xml:space="preserve">Kwa Jiyeve - BTC Map</w:t>
        </w:r>
      </w:hyperlink>
    </w:p>
    <w:p>
      <w:pPr>
        <w:numPr>
          <w:ilvl w:val="0"/>
          <w:numId w:val="1001"/>
        </w:numPr>
        <w:pStyle w:val="Compact"/>
      </w:pPr>
      <w:hyperlink r:id="rId2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@BitcoinCalabar</w:t>
        </w:r>
      </w:hyperlink>
    </w:p>
    <w:p>
      <w:pPr>
        <w:numPr>
          <w:ilvl w:val="0"/>
          <w:numId w:val="1001"/>
        </w:numPr>
        <w:pStyle w:val="Compact"/>
      </w:pPr>
      <w:hyperlink r:id="rId29">
        <w:r>
          <w:rPr>
            <w:rStyle w:val="Hyperlink"/>
          </w:rPr>
          <w:t xml:space="preserve">Chef Green Signature Local Cusine Hub - BTC Map</w:t>
        </w:r>
      </w:hyperlink>
    </w:p>
    <w:p>
      <w:pPr>
        <w:numPr>
          <w:ilvl w:val="0"/>
          <w:numId w:val="1001"/>
        </w:numPr>
        <w:pStyle w:val="Compact"/>
      </w:pPr>
      <w:hyperlink r:id="rId3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@BtcBabies</w:t>
        </w:r>
      </w:hyperlink>
    </w:p>
    <w:p>
      <w:pPr>
        <w:numPr>
          <w:ilvl w:val="0"/>
          <w:numId w:val="1001"/>
        </w:numPr>
        <w:pStyle w:val="Compact"/>
      </w:pPr>
      <w:hyperlink r:id="rId31">
        <w:r>
          <w:rPr>
            <w:rStyle w:val="Hyperlink"/>
          </w:rPr>
          <w:t xml:space="preserve">Bobo’s Chicken Bites - BTC Map</w:t>
        </w:r>
      </w:hyperlink>
    </w:p>
    <w:p>
      <w:pPr>
        <w:numPr>
          <w:ilvl w:val="0"/>
          <w:numId w:val="1001"/>
        </w:numPr>
        <w:pStyle w:val="Compact"/>
      </w:pPr>
      <w:hyperlink r:id="rId3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@bitcoin_dua</w:t>
        </w:r>
      </w:hyperlink>
    </w:p>
    <w:p>
      <w:pPr>
        <w:numPr>
          <w:ilvl w:val="0"/>
          <w:numId w:val="1001"/>
        </w:numPr>
        <w:pStyle w:val="Compact"/>
      </w:pPr>
      <w:hyperlink r:id="rId33">
        <w:r>
          <w:rPr>
            <w:rStyle w:val="Hyperlink"/>
          </w:rPr>
          <w:t xml:space="preserve">Antitor Provision Store - BTC Map</w:t>
        </w:r>
      </w:hyperlink>
    </w:p>
    <w:p>
      <w:pPr>
        <w:numPr>
          <w:ilvl w:val="0"/>
          <w:numId w:val="1001"/>
        </w:numPr>
        <w:pStyle w:val="Compact"/>
      </w:pPr>
      <w:hyperlink r:id="rId3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@pavlenex</w:t>
        </w:r>
      </w:hyperlink>
    </w:p>
    <w:p>
      <w:pPr>
        <w:numPr>
          <w:ilvl w:val="0"/>
          <w:numId w:val="1001"/>
        </w:numPr>
        <w:pStyle w:val="Compact"/>
      </w:pPr>
      <w:hyperlink r:id="rId3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@pavlenex</w:t>
        </w:r>
      </w:hyperlink>
    </w:p>
    <w:p>
      <w:pPr>
        <w:numPr>
          <w:ilvl w:val="0"/>
          <w:numId w:val="1001"/>
        </w:numPr>
        <w:pStyle w:val="Compact"/>
      </w:pPr>
      <w:hyperlink r:id="rId36">
        <w:r>
          <w:rPr>
            <w:rStyle w:val="Hyperlink"/>
          </w:rPr>
          <w:t xml:space="preserve">𝕏 article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@BtcpayServer</w:t>
        </w:r>
      </w:hyperlink>
    </w:p>
    <w:p>
      <w:pPr>
        <w:numPr>
          <w:ilvl w:val="0"/>
          <w:numId w:val="1001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@blinkbtc</w:t>
        </w:r>
      </w:hyperlink>
    </w:p>
    <w:p>
      <w:pPr>
        <w:numPr>
          <w:ilvl w:val="0"/>
          <w:numId w:val="1001"/>
        </w:numPr>
        <w:pStyle w:val="Compact"/>
      </w:pPr>
      <w:hyperlink r:id="rId3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@blinkbtc</w:t>
        </w:r>
      </w:hyperlink>
    </w:p>
    <w:p>
      <w:pPr>
        <w:numPr>
          <w:ilvl w:val="0"/>
          <w:numId w:val="1001"/>
        </w:numPr>
        <w:pStyle w:val="Compact"/>
      </w:pPr>
      <w:hyperlink r:id="rId3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@callebtc</w:t>
        </w:r>
      </w:hyperlink>
    </w:p>
    <w:p>
      <w:pPr>
        <w:numPr>
          <w:ilvl w:val="0"/>
          <w:numId w:val="1001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@callebtc</w:t>
        </w:r>
      </w:hyperlink>
    </w:p>
    <w:p>
      <w:pPr>
        <w:numPr>
          <w:ilvl w:val="0"/>
          <w:numId w:val="1001"/>
        </w:numPr>
        <w:pStyle w:val="Compact"/>
      </w:pPr>
      <w:hyperlink r:id="rId4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@callebtc</w:t>
        </w:r>
      </w:hyperlink>
    </w:p>
    <w:p>
      <w:pPr>
        <w:numPr>
          <w:ilvl w:val="0"/>
          <w:numId w:val="1001"/>
        </w:numPr>
        <w:pStyle w:val="Compact"/>
      </w:pPr>
      <w:hyperlink r:id="rId4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@lightningenable</w:t>
        </w:r>
      </w:hyperlink>
    </w:p>
    <w:p>
      <w:pPr>
        <w:numPr>
          <w:ilvl w:val="0"/>
          <w:numId w:val="1001"/>
        </w:numPr>
        <w:pStyle w:val="Compact"/>
      </w:pPr>
      <w:hyperlink r:id="rId4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@BitcoinKaroo</w:t>
        </w:r>
      </w:hyperlink>
    </w:p>
    <w:bookmarkEnd w:id="44"/>
    <w:bookmarkEnd w:id="45"/>
    <w:bookmarkEnd w:id="4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7" Target="http://btcmap.org/merchant/26332" TargetMode="External" /><Relationship Type="http://schemas.openxmlformats.org/officeDocument/2006/relationships/hyperlink" Id="rId33" Target="http://btcmap.org/merchant/36107" TargetMode="External" /><Relationship Type="http://schemas.openxmlformats.org/officeDocument/2006/relationships/hyperlink" Id="rId29" Target="https://btcmap.org/merchant/25058" TargetMode="External" /><Relationship Type="http://schemas.openxmlformats.org/officeDocument/2006/relationships/hyperlink" Id="rId31" Target="https://btcmap.org/merchant/41957" TargetMode="External" /><Relationship Type="http://schemas.openxmlformats.org/officeDocument/2006/relationships/hyperlink" Id="rId28" Target="https://x.com/BitcoinCalabar/status/2086172253205524786" TargetMode="External" /><Relationship Type="http://schemas.openxmlformats.org/officeDocument/2006/relationships/hyperlink" Id="rId25" Target="https://x.com/BitcoinEkasi/status/2086028038920122746" TargetMode="External" /><Relationship Type="http://schemas.openxmlformats.org/officeDocument/2006/relationships/hyperlink" Id="rId43" Target="https://x.com/BitcoinKaroo/status/2085974593928388875" TargetMode="External" /><Relationship Type="http://schemas.openxmlformats.org/officeDocument/2006/relationships/hyperlink" Id="rId30" Target="https://x.com/BtcBabies/status/2086071248111452460" TargetMode="External" /><Relationship Type="http://schemas.openxmlformats.org/officeDocument/2006/relationships/hyperlink" Id="rId32" Target="https://x.com/bitcoin_dua/status/2086080748868477267" TargetMode="External" /><Relationship Type="http://schemas.openxmlformats.org/officeDocument/2006/relationships/hyperlink" Id="rId37" Target="https://x.com/blinkbtc/status/2086106996181262766" TargetMode="External" /><Relationship Type="http://schemas.openxmlformats.org/officeDocument/2006/relationships/hyperlink" Id="rId38" Target="https://x.com/blinkbtc/status/2086107045149679694" TargetMode="External" /><Relationship Type="http://schemas.openxmlformats.org/officeDocument/2006/relationships/hyperlink" Id="rId26" Target="https://x.com/btcshule/status/2086050178230866362" TargetMode="External" /><Relationship Type="http://schemas.openxmlformats.org/officeDocument/2006/relationships/hyperlink" Id="rId39" Target="https://x.com/callebtc/status/2086220411084103707" TargetMode="External" /><Relationship Type="http://schemas.openxmlformats.org/officeDocument/2006/relationships/hyperlink" Id="rId40" Target="https://x.com/callebtc/status/2086220415207141829" TargetMode="External" /><Relationship Type="http://schemas.openxmlformats.org/officeDocument/2006/relationships/hyperlink" Id="rId41" Target="https://x.com/callebtc/status/2086220430860255269" TargetMode="External" /><Relationship Type="http://schemas.openxmlformats.org/officeDocument/2006/relationships/hyperlink" Id="rId36" Target="https://x.com/i/article/2085838133782888449" TargetMode="External" /><Relationship Type="http://schemas.openxmlformats.org/officeDocument/2006/relationships/hyperlink" Id="rId42" Target="https://x.com/lightningenable/status/2086292688647684381" TargetMode="External" /><Relationship Type="http://schemas.openxmlformats.org/officeDocument/2006/relationships/hyperlink" Id="rId34" Target="https://x.com/pavlenex/status/2085959835653161329" TargetMode="External" /><Relationship Type="http://schemas.openxmlformats.org/officeDocument/2006/relationships/hyperlink" Id="rId35" Target="https://x.com/pavlenex/status/208601298926240186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btcmap.org/merchant/26332" TargetMode="External" /><Relationship Type="http://schemas.openxmlformats.org/officeDocument/2006/relationships/hyperlink" Id="rId33" Target="http://btcmap.org/merchant/36107" TargetMode="External" /><Relationship Type="http://schemas.openxmlformats.org/officeDocument/2006/relationships/hyperlink" Id="rId29" Target="https://btcmap.org/merchant/25058" TargetMode="External" /><Relationship Type="http://schemas.openxmlformats.org/officeDocument/2006/relationships/hyperlink" Id="rId31" Target="https://btcmap.org/merchant/41957" TargetMode="External" /><Relationship Type="http://schemas.openxmlformats.org/officeDocument/2006/relationships/hyperlink" Id="rId28" Target="https://x.com/BitcoinCalabar/status/2086172253205524786" TargetMode="External" /><Relationship Type="http://schemas.openxmlformats.org/officeDocument/2006/relationships/hyperlink" Id="rId25" Target="https://x.com/BitcoinEkasi/status/2086028038920122746" TargetMode="External" /><Relationship Type="http://schemas.openxmlformats.org/officeDocument/2006/relationships/hyperlink" Id="rId43" Target="https://x.com/BitcoinKaroo/status/2085974593928388875" TargetMode="External" /><Relationship Type="http://schemas.openxmlformats.org/officeDocument/2006/relationships/hyperlink" Id="rId30" Target="https://x.com/BtcBabies/status/2086071248111452460" TargetMode="External" /><Relationship Type="http://schemas.openxmlformats.org/officeDocument/2006/relationships/hyperlink" Id="rId32" Target="https://x.com/bitcoin_dua/status/2086080748868477267" TargetMode="External" /><Relationship Type="http://schemas.openxmlformats.org/officeDocument/2006/relationships/hyperlink" Id="rId37" Target="https://x.com/blinkbtc/status/2086106996181262766" TargetMode="External" /><Relationship Type="http://schemas.openxmlformats.org/officeDocument/2006/relationships/hyperlink" Id="rId38" Target="https://x.com/blinkbtc/status/2086107045149679694" TargetMode="External" /><Relationship Type="http://schemas.openxmlformats.org/officeDocument/2006/relationships/hyperlink" Id="rId26" Target="https://x.com/btcshule/status/2086050178230866362" TargetMode="External" /><Relationship Type="http://schemas.openxmlformats.org/officeDocument/2006/relationships/hyperlink" Id="rId39" Target="https://x.com/callebtc/status/2086220411084103707" TargetMode="External" /><Relationship Type="http://schemas.openxmlformats.org/officeDocument/2006/relationships/hyperlink" Id="rId40" Target="https://x.com/callebtc/status/2086220415207141829" TargetMode="External" /><Relationship Type="http://schemas.openxmlformats.org/officeDocument/2006/relationships/hyperlink" Id="rId41" Target="https://x.com/callebtc/status/2086220430860255269" TargetMode="External" /><Relationship Type="http://schemas.openxmlformats.org/officeDocument/2006/relationships/hyperlink" Id="rId36" Target="https://x.com/i/article/2085838133782888449" TargetMode="External" /><Relationship Type="http://schemas.openxmlformats.org/officeDocument/2006/relationships/hyperlink" Id="rId42" Target="https://x.com/lightningenable/status/2086292688647684381" TargetMode="External" /><Relationship Type="http://schemas.openxmlformats.org/officeDocument/2006/relationships/hyperlink" Id="rId34" Target="https://x.com/pavlenex/status/2085959835653161329" TargetMode="External" /><Relationship Type="http://schemas.openxmlformats.org/officeDocument/2006/relationships/hyperlink" Id="rId35" Target="https://x.com/pavlenex/status/208601298926240186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Grassroots Bitcoin Spending Expands While the Payment Stack Hardens Under Attack</dc:title>
  <dc:creator>Bitcoin Payment Adoption Tracker</dc:creator>
  <cp:keywords/>
  <dcterms:created xsi:type="dcterms:W3CDTF">2026-08-26T16:46:49Z</dcterms:created>
  <dcterms:modified xsi:type="dcterms:W3CDTF">2026-08-26T16:46:49Z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2026-08-09</vt:lpwstr>
  </property>
</Properties>
</file>