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Grassroots Merchant Mapping and Wallet Upgrades Extend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2026-07-02</w:t>
      </w:r>
    </w:p>
    <w:bookmarkStart w:id="50" w:name="X9e1a678b8233cd8a1feb5f2274f1f0dd2932684"/>
    <w:p>
      <w:pPr>
        <w:pStyle w:val="Heading1"/>
      </w:pPr>
      <w:r>
        <w:t xml:space="preserve">Grassroots Merchant Mapping and Wallet Upgrades Extend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July 2, 2026</w:t>
      </w:r>
    </w:p>
    <w:p>
      <w:pPr>
        <w:pStyle w:val="BodyText"/>
      </w:pPr>
      <w:r>
        <w:t xml:space="preserve">BTCMap-linked merchant activity in Kenya and Zambia, a Bitcoin-selling flea market in El Salvador, and QR-based relief donations to Venezuela all point to continued grassroots payment use. Infrastructure also moved forward with Blink’s non-custodial accounts, Lightning Enable’s L402 compatibility testing, and BTCPay Server’s reporting improvements, while no new payment-specific regulation or transaction-volume disclosures were cited.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d4bd6be74333fed9f4bbbdcf9f830c2b3803e8c"/>
    <w:p>
      <w:pPr>
        <w:pStyle w:val="Heading3"/>
      </w:pPr>
      <w:r>
        <w:t xml:space="preserve">Kenya — three merchant endpoints highlighted on BTCMap</w:t>
      </w:r>
    </w:p>
    <w:p>
      <w:pPr>
        <w:pStyle w:val="FirstParagraph"/>
      </w:pPr>
      <w:r>
        <w:t xml:space="preserve">Bitcoin Chama highlighted three merchants —</w:t>
      </w:r>
      <w:r>
        <w:t xml:space="preserve"> </w:t>
      </w:r>
      <w:r>
        <w:rPr>
          <w:rStyle w:val="VerbatimChar"/>
        </w:rPr>
        <w:t xml:space="preserve">meshack100@blink.sv</w:t>
      </w:r>
      <w:r>
        <w:t xml:space="preserve">,</w:t>
      </w:r>
      <w:r>
        <w:t xml:space="preserve"> </w:t>
      </w:r>
      <w:r>
        <w:rPr>
          <w:rStyle w:val="VerbatimChar"/>
        </w:rPr>
        <w:t xml:space="preserve">rachael@8333.mobi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Kemunto@blink.sv</w:t>
      </w:r>
      <w:r>
        <w:t xml:space="preserve"> </w:t>
      </w:r>
      <w:r>
        <w:t xml:space="preserve">— and provided BTCMap locations for each [1, 2, 3].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BTCMap visibility makes merchant endpoints easier to discover and improves the practical usability of Bitcoin for in-person spending when adoption is distributed across many small merchants.</w:t>
      </w:r>
    </w:p>
    <w:bookmarkEnd w:id="20"/>
    <w:bookmarkStart w:id="21" w:name="X809d4bc6d4c6532d1b5317a52e25dfa92b5b273"/>
    <w:p>
      <w:pPr>
        <w:pStyle w:val="Heading3"/>
      </w:pPr>
      <w:r>
        <w:t xml:space="preserve">El Salvador — Berlín Flea Market invites vendors to sell for Bitcoin</w:t>
      </w:r>
    </w:p>
    <w:p>
      <w:pPr>
        <w:pStyle w:val="FirstParagraph"/>
      </w:pPr>
      <w:r>
        <w:t xml:space="preserve">Bitcoin Berlín SV said the Berlín Flea Market on</w:t>
      </w:r>
      <w:r>
        <w:t xml:space="preserve"> </w:t>
      </w:r>
      <w:r>
        <w:rPr>
          <w:bCs/>
          <w:b/>
        </w:rPr>
        <w:t xml:space="preserve">July 4-5</w:t>
      </w:r>
      <w:r>
        <w:t xml:space="preserve"> </w:t>
      </w:r>
      <w:r>
        <w:t xml:space="preserve">is accepting vendor registrations for sellers who want to price and sell items for Bitcoin [4].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is a multi-vendor commerce setting rather than a single-store example, giving Bitcoin a direct role in short-cycle retail activity.</w:t>
      </w:r>
    </w:p>
    <w:bookmarkEnd w:id="21"/>
    <w:bookmarkStart w:id="22" w:name="Xb61166b1c0372fef038199ce640a3b2dc37e48e"/>
    <w:p>
      <w:pPr>
        <w:pStyle w:val="Heading3"/>
      </w:pPr>
      <w:r>
        <w:t xml:space="preserve">Venezuela — Bitcoin donations are being used for earthquake relief</w:t>
      </w:r>
    </w:p>
    <w:p>
      <w:pPr>
        <w:pStyle w:val="FirstParagraph"/>
      </w:pPr>
      <w:r>
        <w:t xml:space="preserve">MOTIV Perú said Bitcoin donations for Venezuela earthquake relief fund</w:t>
      </w:r>
      <w:r>
        <w:t xml:space="preserve"> </w:t>
      </w:r>
      <w:r>
        <w:rPr>
          <w:bCs/>
          <w:b/>
        </w:rPr>
        <w:t xml:space="preserve">250 meals served every day</w:t>
      </w:r>
      <w:r>
        <w:t xml:space="preserve">, along with hygiene and cleaning kits, with direct distribution and no intermediaries; donations are accepted via QR code scan [5].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extends Bitcoin’s payment role beyond retail into humanitarian transfers, where fast routing and direct disbursement are central to the use case.</w:t>
      </w:r>
    </w:p>
    <w:bookmarkEnd w:id="22"/>
    <w:bookmarkEnd w:id="23"/>
    <w:bookmarkStart w:id="27" w:name="payment-infrastructure"/>
    <w:p>
      <w:pPr>
        <w:pStyle w:val="Heading2"/>
      </w:pPr>
      <w:r>
        <w:t xml:space="preserve">Payment Infrastructure</w:t>
      </w:r>
    </w:p>
    <w:bookmarkStart w:id="24" w:name="Xebb2dc9b593b261e51b1fca37f0b2a9db195a97"/>
    <w:p>
      <w:pPr>
        <w:pStyle w:val="Heading3"/>
      </w:pPr>
      <w:r>
        <w:t xml:space="preserve">Global — Blink Wallet adds non-custodial accounts while keeping Lightning payment functions</w:t>
      </w:r>
    </w:p>
    <w:p>
      <w:pPr>
        <w:pStyle w:val="FirstParagraph"/>
      </w:pPr>
      <w:r>
        <w:t xml:space="preserve">Blink Wallet said non-custodial accounts are now live on iOS and Android [6]. It also said Lightning addresses, QR codes, instant payments, and Dollar Balance stay the same, while users now receive a 12-word recovery phrase and hold their own keys [7]. Blink framed the change as a continuation of its goal of making bitcoin usable as everyday money, moving beyond the earlier custodial-Lightning model through newer layer 2 possibilities [8, 9].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For payment adoption, this reduces the usual trade-off between self-custody and ease of use. Blink also made the operating trade-off explicit: it cannot recover funds if a user loses access [7].</w:t>
      </w:r>
    </w:p>
    <w:bookmarkEnd w:id="24"/>
    <w:bookmarkStart w:id="25" w:name="Xef3fb27fa9c776ecb54729f4b68a793a2d0f38d"/>
    <w:p>
      <w:pPr>
        <w:pStyle w:val="Heading3"/>
      </w:pPr>
      <w:r>
        <w:t xml:space="preserve">Global — Lightning Enable tests the full L402 payment flow for agentic commerce</w:t>
      </w:r>
    </w:p>
    <w:p>
      <w:pPr>
        <w:pStyle w:val="FirstParagraph"/>
      </w:pPr>
      <w:r>
        <w:t xml:space="preserve">Lightning Enable said agentic commerce needs wallets and Lightning infrastructure that can handle</w:t>
      </w:r>
      <w:r>
        <w:t xml:space="preserve"> </w:t>
      </w:r>
      <w:r>
        <w:rPr>
          <w:bCs/>
          <w:b/>
        </w:rPr>
        <w:t xml:space="preserve">L402</w:t>
      </w:r>
      <w:r>
        <w:t xml:space="preserve"> </w:t>
      </w:r>
      <w:r>
        <w:t xml:space="preserve">cleanly [10]. It is testing compatibility across Lightning wallets, NWC providers, node stacks, and payment gateways for the sequence</w:t>
      </w:r>
      <w:r>
        <w:t xml:space="preserve"> </w:t>
      </w:r>
      <w:r>
        <w:rPr>
          <w:rStyle w:val="VerbatimChar"/>
        </w:rPr>
        <w:t xml:space="preserve">402 Payment Required</w:t>
      </w:r>
      <w:r>
        <w:t xml:space="preserve"> </w:t>
      </w:r>
      <w:r>
        <w:t xml:space="preserve">→ Lightning payment → proof returned → paid API/tool access [10].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pushes Bitcoin payments beyond human checkout into machine-mediated paid access, with interoperability across the payment stack as the main requirement.</w:t>
      </w:r>
    </w:p>
    <w:bookmarkEnd w:id="25"/>
    <w:bookmarkStart w:id="26" w:name="X04d538708865db9ecf471f146a67a11dd30ea73"/>
    <w:p>
      <w:pPr>
        <w:pStyle w:val="Heading3"/>
      </w:pPr>
      <w:r>
        <w:t xml:space="preserve">Global — BTCPay Server improves date and timezone handling</w:t>
      </w:r>
    </w:p>
    <w:p>
      <w:pPr>
        <w:pStyle w:val="FirstParagraph"/>
      </w:pPr>
      <w:r>
        <w:t xml:space="preserve">Nicolas Dorier said BTCPay Server is improving how it handles dates and timezones, including date filters that make more sense [11].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 smaller but practical merchant-operations update, especially for payment records and reporting across time zones.</w:t>
      </w:r>
    </w:p>
    <w:bookmarkEnd w:id="26"/>
    <w:bookmarkEnd w:id="27"/>
    <w:bookmarkStart w:id="31" w:name="regulatory-landscape"/>
    <w:p>
      <w:pPr>
        <w:pStyle w:val="Heading2"/>
      </w:pPr>
      <w:r>
        <w:t xml:space="preserve">Regulatory Landscape</w:t>
      </w:r>
    </w:p>
    <w:bookmarkStart w:id="28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legal or regulatory changes affecting Bitcoin payments were cited in the supplied material for African markets.</w:t>
      </w:r>
    </w:p>
    <w:bookmarkEnd w:id="28"/>
    <w:bookmarkStart w:id="29" w:name="latin-america"/>
    <w:p>
      <w:pPr>
        <w:pStyle w:val="Heading3"/>
      </w:pPr>
      <w:r>
        <w:t xml:space="preserve">Latin America</w:t>
      </w:r>
    </w:p>
    <w:p>
      <w:pPr>
        <w:pStyle w:val="FirstParagraph"/>
      </w:pPr>
      <w:r>
        <w:t xml:space="preserve">No legal or regulatory changes affecting Bitcoin payments were cited in the supplied material for Latin American markets.</w:t>
      </w:r>
    </w:p>
    <w:bookmarkEnd w:id="29"/>
    <w:bookmarkStart w:id="30" w:name="global-infrastructure"/>
    <w:p>
      <w:pPr>
        <w:pStyle w:val="Heading3"/>
      </w:pPr>
      <w:r>
        <w:t xml:space="preserve">Global infrastructure</w:t>
      </w:r>
    </w:p>
    <w:p>
      <w:pPr>
        <w:pStyle w:val="FirstParagraph"/>
      </w:pPr>
      <w:r>
        <w:t xml:space="preserve">No new policy or compliance changes were cited for Blink, Lightning Enable, or BTCPay Server in this batch.</w:t>
      </w:r>
    </w:p>
    <w:bookmarkEnd w:id="30"/>
    <w:bookmarkEnd w:id="31"/>
    <w:bookmarkStart w:id="32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supplied material did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include transaction-volume totals, merchant processing figures, or active-user counts. The clearest disclosed figures were operational: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Kenya:</w:t>
      </w:r>
      <w:r>
        <w:t xml:space="preserve"> </w:t>
      </w:r>
      <w:r>
        <w:t xml:space="preserve">3 merchant endpoints were highlighted on BTCMap by Bitcoin Chama [1, 2, 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Zambia:</w:t>
      </w:r>
      <w:r>
        <w:t xml:space="preserve"> </w:t>
      </w:r>
      <w:r>
        <w:t xml:space="preserve">1 merchant in Livingstone was highlighted with a Lightning address and BTCMap listing [12]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 Salvador:</w:t>
      </w:r>
      <w:r>
        <w:t xml:space="preserve"> </w:t>
      </w:r>
      <w:r>
        <w:t xml:space="preserve">the Berlín Flea Market is scheduled for</w:t>
      </w:r>
      <w:r>
        <w:t xml:space="preserve"> </w:t>
      </w:r>
      <w:r>
        <w:rPr>
          <w:bCs/>
          <w:b/>
        </w:rPr>
        <w:t xml:space="preserve">July 4-5</w:t>
      </w:r>
      <w:r>
        <w:t xml:space="preserve"> </w:t>
      </w:r>
      <w:r>
        <w:t xml:space="preserve">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Venezuela relief:</w:t>
      </w:r>
      <w:r>
        <w:t xml:space="preserve"> </w:t>
      </w:r>
      <w:r>
        <w:t xml:space="preserve">Bitcoin donations are supporting</w:t>
      </w:r>
      <w:r>
        <w:t xml:space="preserve"> </w:t>
      </w:r>
      <w:r>
        <w:rPr>
          <w:bCs/>
          <w:b/>
        </w:rPr>
        <w:t xml:space="preserve">250 meals served every day</w:t>
      </w:r>
      <w:r>
        <w:t xml:space="preserve">, plus hygiene and cleaning kits [5]</w:t>
      </w:r>
    </w:p>
    <w:bookmarkEnd w:id="32"/>
    <w:bookmarkStart w:id="35" w:name="emerging-markets"/>
    <w:p>
      <w:pPr>
        <w:pStyle w:val="Heading2"/>
      </w:pPr>
      <w:r>
        <w:t xml:space="preserve">Emerging Markets</w:t>
      </w:r>
    </w:p>
    <w:bookmarkStart w:id="33" w:name="X594f6d4decf11b1334591d74c2eeafcbb9579ba"/>
    <w:p>
      <w:pPr>
        <w:pStyle w:val="Heading3"/>
      </w:pPr>
      <w:r>
        <w:t xml:space="preserve">Africa — grassroots merchant visibility remains the clearest signal</w:t>
      </w:r>
    </w:p>
    <w:p>
      <w:pPr>
        <w:pStyle w:val="FirstParagraph"/>
      </w:pPr>
      <w:r>
        <w:t xml:space="preserve">This batch’s African payment activity was merchant-led rather than enterprise-led: three BTCMap-linked merchant endpoints were highlighted in Kenya, and another merchant endpoint was highlighted in Livingstone, Zambia [1, 2, 3, 12].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pattern is small-scale but practical. Discoverable merchants are what turn wallet capability into places to spend.</w:t>
      </w:r>
    </w:p>
    <w:bookmarkEnd w:id="33"/>
    <w:bookmarkStart w:id="34" w:name="X5d4b11e6350127998377fa43cbff504732b3519"/>
    <w:p>
      <w:pPr>
        <w:pStyle w:val="Heading3"/>
      </w:pPr>
      <w:r>
        <w:t xml:space="preserve">Latin America — Bitcoin payments appeared in both market commerce and aid distribution</w:t>
      </w:r>
    </w:p>
    <w:p>
      <w:pPr>
        <w:pStyle w:val="FirstParagraph"/>
      </w:pPr>
      <w:r>
        <w:t xml:space="preserve">In El Salvador, a flea market is explicitly inviting vendors to sell for Bitcoin on July 4-5 [4]. Separately, Bitcoin donations are being used for Venezuela earthquake relief through QR-based contributions and direct distribution to affected communities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regional signal is broader than standard retail checkout. The sources show Bitcoin being used in temporary vendor markets and in humanitarian transfers.</w:t>
      </w:r>
    </w:p>
    <w:bookmarkEnd w:id="34"/>
    <w:bookmarkEnd w:id="35"/>
    <w:bookmarkStart w:id="49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clearest momentum in this batch came from</w:t>
      </w:r>
      <w:r>
        <w:t xml:space="preserve"> </w:t>
      </w:r>
      <w:r>
        <w:rPr>
          <w:bCs/>
          <w:b/>
        </w:rPr>
        <w:t xml:space="preserve">practical payment endpoints and payment-enabling infrastructure</w:t>
      </w:r>
      <w:r>
        <w:t xml:space="preserve">, not from regulation or disclosed volume growth. Africa contributed additional mapped merchant endpoints, while Latin America showed Bitcoin being used in both vendor-market sales and urgent aid delivery [1, 2, 3, 4, 5].</w:t>
      </w:r>
    </w:p>
    <w:p>
      <w:pPr>
        <w:pStyle w:val="BodyText"/>
      </w:pPr>
      <w:r>
        <w:t xml:space="preserve">On the infrastructure side, Blink’s non-custodial rollout, Lightning Enable’s L402 compatibility work, and BTCPay Server’s operational refinements all point in the same direction: improving the conditions for Bitcoin to function in day-to-day payments, even though this set did not provide transaction totals or regulatory change [6, 7, 8, 9, 10, 11].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@BitcoinBerlinSV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@MotivPeru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@blinkbtc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@blinkbtc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@blinkbtc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@blinkbtc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@NicolasDorier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@BitcoinVicFalls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x.com/BitcoinBerlinSV/status/2072484211961819334" TargetMode="External" /><Relationship Type="http://schemas.openxmlformats.org/officeDocument/2006/relationships/hyperlink" Id="rId47" Target="https://x.com/BitcoinVicFalls/status/2072361384554217799" TargetMode="External" /><Relationship Type="http://schemas.openxmlformats.org/officeDocument/2006/relationships/hyperlink" Id="rId38" Target="https://x.com/Bitcoinchama/status/2072178547888689633" TargetMode="External" /><Relationship Type="http://schemas.openxmlformats.org/officeDocument/2006/relationships/hyperlink" Id="rId37" Target="https://x.com/Bitcoinchama/status/2072178784728428929" TargetMode="External" /><Relationship Type="http://schemas.openxmlformats.org/officeDocument/2006/relationships/hyperlink" Id="rId36" Target="https://x.com/Bitcoinchama/status/2072178968573182263" TargetMode="External" /><Relationship Type="http://schemas.openxmlformats.org/officeDocument/2006/relationships/hyperlink" Id="rId40" Target="https://x.com/MotivPeru/status/2072510200053993687" TargetMode="External" /><Relationship Type="http://schemas.openxmlformats.org/officeDocument/2006/relationships/hyperlink" Id="rId46" Target="https://x.com/NicolasDorier/status/2072265453712621866" TargetMode="External" /><Relationship Type="http://schemas.openxmlformats.org/officeDocument/2006/relationships/hyperlink" Id="rId41" Target="https://x.com/blinkbtc/status/2072338795643494593" TargetMode="External" /><Relationship Type="http://schemas.openxmlformats.org/officeDocument/2006/relationships/hyperlink" Id="rId43" Target="https://x.com/blinkbtc/status/2072338798495629547" TargetMode="External" /><Relationship Type="http://schemas.openxmlformats.org/officeDocument/2006/relationships/hyperlink" Id="rId42" Target="https://x.com/blinkbtc/status/2072338801888739339" TargetMode="External" /><Relationship Type="http://schemas.openxmlformats.org/officeDocument/2006/relationships/hyperlink" Id="rId44" Target="https://x.com/blinkbtc/status/2072338804237648149" TargetMode="External" /><Relationship Type="http://schemas.openxmlformats.org/officeDocument/2006/relationships/hyperlink" Id="rId45" Target="https://x.com/lightningenable/status/20724982449244408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x.com/BitcoinBerlinSV/status/2072484211961819334" TargetMode="External" /><Relationship Type="http://schemas.openxmlformats.org/officeDocument/2006/relationships/hyperlink" Id="rId47" Target="https://x.com/BitcoinVicFalls/status/2072361384554217799" TargetMode="External" /><Relationship Type="http://schemas.openxmlformats.org/officeDocument/2006/relationships/hyperlink" Id="rId38" Target="https://x.com/Bitcoinchama/status/2072178547888689633" TargetMode="External" /><Relationship Type="http://schemas.openxmlformats.org/officeDocument/2006/relationships/hyperlink" Id="rId37" Target="https://x.com/Bitcoinchama/status/2072178784728428929" TargetMode="External" /><Relationship Type="http://schemas.openxmlformats.org/officeDocument/2006/relationships/hyperlink" Id="rId36" Target="https://x.com/Bitcoinchama/status/2072178968573182263" TargetMode="External" /><Relationship Type="http://schemas.openxmlformats.org/officeDocument/2006/relationships/hyperlink" Id="rId40" Target="https://x.com/MotivPeru/status/2072510200053993687" TargetMode="External" /><Relationship Type="http://schemas.openxmlformats.org/officeDocument/2006/relationships/hyperlink" Id="rId46" Target="https://x.com/NicolasDorier/status/2072265453712621866" TargetMode="External" /><Relationship Type="http://schemas.openxmlformats.org/officeDocument/2006/relationships/hyperlink" Id="rId41" Target="https://x.com/blinkbtc/status/2072338795643494593" TargetMode="External" /><Relationship Type="http://schemas.openxmlformats.org/officeDocument/2006/relationships/hyperlink" Id="rId43" Target="https://x.com/blinkbtc/status/2072338798495629547" TargetMode="External" /><Relationship Type="http://schemas.openxmlformats.org/officeDocument/2006/relationships/hyperlink" Id="rId42" Target="https://x.com/blinkbtc/status/2072338801888739339" TargetMode="External" /><Relationship Type="http://schemas.openxmlformats.org/officeDocument/2006/relationships/hyperlink" Id="rId44" Target="https://x.com/blinkbtc/status/2072338804237648149" TargetMode="External" /><Relationship Type="http://schemas.openxmlformats.org/officeDocument/2006/relationships/hyperlink" Id="rId45" Target="https://x.com/lightningenable/status/20724982449244408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Grassroots Merchant Mapping and Wallet Upgrades Extend Bitcoin Payments</dc:title>
  <dc:creator>Bitcoin Payment Adoption Tracker</dc:creator>
  <cp:keywords/>
  <dcterms:created xsi:type="dcterms:W3CDTF">2026-07-03T18:24:42Z</dcterms:created>
  <dcterms:modified xsi:type="dcterms:W3CDTF">2026-07-03T18:24:42Z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2026-07-02</vt:lpwstr>
  </property>
</Properties>
</file>