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Health AI Expands, Open Models Close Gaps, and the Grid Becomes an AI Issue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2026-06-19</w:t>
      </w:r>
    </w:p>
    <w:bookmarkStart w:id="52" w:name="X735530b9a0953957ce7f42b4abb2de71af3059a"/>
    <w:p>
      <w:pPr>
        <w:pStyle w:val="Heading1"/>
      </w:pPr>
      <w:r>
        <w:t xml:space="preserve">Health AI Expands, Open Models Close Gaps, and the Grid Becomes an AI Issue</w:t>
      </w:r>
    </w:p>
    <w:p>
      <w:pPr>
        <w:pStyle w:val="FirstParagraph"/>
      </w:pPr>
      <w:r>
        <w:rPr>
          <w:iCs/>
          <w:i/>
        </w:rPr>
        <w:t xml:space="preserve">By AI News Digest • June 19, 2026</w:t>
      </w:r>
    </w:p>
    <w:p>
      <w:pPr>
        <w:pStyle w:val="BodyText"/>
      </w:pPr>
      <w:r>
        <w:t xml:space="preserve">Today’s biggest signals came from healthcare and biology: OpenAI paired a broad health upgrade with published rare-disease results, Profluent signed a $2.25B Lilly deal, and Midjourney surfaced a medical imaging project. Elsewhere, new benchmark data showed open-weight momentum amid persistent agent limits, while labs and policymakers focused on deeper safety and infrastructure questions.</w:t>
      </w:r>
    </w:p>
    <w:bookmarkStart w:id="23" w:name="health-and-biology-led-the-day"/>
    <w:p>
      <w:pPr>
        <w:pStyle w:val="Heading2"/>
      </w:pPr>
      <w:r>
        <w:t xml:space="preserve">Health and biology led the day</w:t>
      </w:r>
    </w:p>
    <w:bookmarkStart w:id="20" w:name="X8006d1899ba1d09e129b6eb3a7c3e08de44bbb8"/>
    <w:p>
      <w:pPr>
        <w:pStyle w:val="Heading3"/>
      </w:pPr>
      <w:r>
        <w:t xml:space="preserve">OpenAI paired a broad health rollout with published clinical evidence</w:t>
      </w:r>
    </w:p>
    <w:p>
      <w:pPr>
        <w:pStyle w:val="FirstParagraph"/>
      </w:pPr>
      <w:r>
        <w:t xml:space="preserve">OpenAI said GPT-5.5 Instant is now on par with its frontier Thinking models for health-related questions, with better urgent-care recognition, context gathering, uncertainty explanation, and clarity across more than 230 million weekly health and wellness queries; the update is available to all free ChatGPT users and was shaped with feedback from hundreds of physicians across 60 countries, 49 languages, and 26 specialties [1, 2]. Separately, OpenAI, Boston Children’s Hospital, and Harvard published a study in</w:t>
      </w:r>
      <w:r>
        <w:t xml:space="preserve"> </w:t>
      </w:r>
      <w:r>
        <w:rPr>
          <w:iCs/>
          <w:i/>
        </w:rPr>
        <w:t xml:space="preserve">NEJM AI</w:t>
      </w:r>
      <w:r>
        <w:t xml:space="preserve"> </w:t>
      </w:r>
      <w:r>
        <w:t xml:space="preserve">showing o3 Deep Research helped clinicians identify 18 diagnoses across 376 previously unsolved rare pediatric disease cases, with every result going through human adjudication and clinical confirmation [3, 4, 5].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one announcement widened access to health guidance inside ChatGPT, while the other tested AI inside an expert-led rare-disease reanalysis workflow that had already resisted years of specialist review [6].</w:t>
      </w:r>
    </w:p>
    <w:bookmarkEnd w:id="20"/>
    <w:bookmarkStart w:id="21" w:name="X3ae747fcf0a6118c5a2e9266377d77f3836be86"/>
    <w:p>
      <w:pPr>
        <w:pStyle w:val="Heading3"/>
      </w:pPr>
      <w:r>
        <w:t xml:space="preserve">Profluent signed a $2.25B Lilly deal for AI-designed gene editors</w:t>
      </w:r>
    </w:p>
    <w:p>
      <w:pPr>
        <w:pStyle w:val="FirstParagraph"/>
      </w:pPr>
      <w:r>
        <w:t xml:space="preserve">Profluent said it signed a $2.25 billion milestone deal with Eli Lilly to develop AI-designed gene editors for therapeutic large-gene insertion, framing the work as an example of AI unlocking a problem that could not previously be solved in this way [7]. The company says its transformer-based sequence models are trained on more than 100 billion protein sequences and used to generate proteins from scratch; it also pointed to OpenCRISPR as the first demonstration of AI-generated functional gene editors, and said peer-reviewed comparisons found sequence models outperforming structure-based approaches on complex multi-domain proteins [7].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large commercial signal for generative biology, and it ties frontier-model methods directly to therapeutic gene-editing programs rather than discovery tooling alone [7].</w:t>
      </w:r>
    </w:p>
    <w:bookmarkEnd w:id="21"/>
    <w:bookmarkStart w:id="22" w:name="Xf92f758e2902f1b95cd9250726495ff001afd3d"/>
    <w:p>
      <w:pPr>
        <w:pStyle w:val="Heading3"/>
      </w:pPr>
      <w:r>
        <w:t xml:space="preserve">Midjourney surfaced a new medical imaging project with clear tradeoffs</w:t>
      </w:r>
    </w:p>
    <w:p>
      <w:pPr>
        <w:pStyle w:val="FirstParagraph"/>
      </w:pPr>
      <w:r>
        <w:t xml:space="preserve">Midjourney published a technical dive on a new</w:t>
      </w:r>
      <w:r>
        <w:t xml:space="preserve"> </w:t>
      </w:r>
      <w:r>
        <w:t xml:space="preserve">“</w:t>
      </w:r>
      <w:r>
        <w:t xml:space="preserve">Scanner</w:t>
      </w:r>
      <w:r>
        <w:t xml:space="preserve">”</w:t>
      </w:r>
      <w:r>
        <w:t xml:space="preserve"> </w:t>
      </w:r>
      <w:r>
        <w:t xml:space="preserve">project, which François Chollet described as a hardware effort for full-body internal 3D scans without MRI [8, 9]. A separate technical summary described the system as radiation-free, magnet-free, fast, and low-cost, while also noting current constraints: it requires a water immersion tank and its resolution is still coarser than CT or MRI [10].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it is a notable expansion from an AI image company into medical hardware, but the present limitations are substantial and part of the story [10].</w:t>
      </w:r>
    </w:p>
    <w:bookmarkEnd w:id="22"/>
    <w:bookmarkEnd w:id="23"/>
    <w:bookmarkStart w:id="25" w:name="X260c2bbcff0db41caba4dc3657da0cc0e9e2a7d"/>
    <w:p>
      <w:pPr>
        <w:pStyle w:val="Heading2"/>
      </w:pPr>
      <w:r>
        <w:t xml:space="preserve">Open-weight competition kept getting stronger</w:t>
      </w:r>
    </w:p>
    <w:bookmarkStart w:id="24" w:name="Xba1940590b07bc656ed67d5aba540e84175193f"/>
    <w:p>
      <w:pPr>
        <w:pStyle w:val="Heading3"/>
      </w:pPr>
      <w:r>
        <w:t xml:space="preserve">A new benchmark showed both momentum and stubborn limits</w:t>
      </w:r>
    </w:p>
    <w:p>
      <w:pPr>
        <w:pStyle w:val="FirstParagraph"/>
      </w:pPr>
      <w:r>
        <w:t xml:space="preserve">Artificial Analysis launched AA-Briefcase, a benchmark for long-horizon knowledge work across multi-week projects with thousands of fragmented inputs, including 25,000+ Slack messages and 3,500+ emails [11]. Its headline result was sobering: the top model, Claude Fable 5, satisfied all rubric criteria on just 3% of tasks, and no model scored above 50% on 31 of 91 tasks; within that field, GLM-5.2 was the next-best non-Anthropic model at 1266 Elo and one of the strongest price/performance options, at $2.40 per task versus $31 for Claude Fable 5 [11]. Poolside added to the open-weight push by releasing Apache 2.0 weights for its 256K-context Laguna M.1 and saying that</w:t>
      </w:r>
      <w:r>
        <w:t xml:space="preserve"> </w:t>
      </w:r>
      <w:r>
        <w:t xml:space="preserve">“</w:t>
      </w:r>
      <w:r>
        <w:t xml:space="preserve">open weights are now our default</w:t>
      </w:r>
      <w:r>
        <w:t xml:space="preserve">”</w:t>
      </w:r>
      <w:r>
        <w:t xml:space="preserve"> </w:t>
      </w:r>
      <w:r>
        <w:t xml:space="preserve">[12, 13].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open-weight models are getting more competitive on cost and capability, but the benchmark also underscores how far the field still is from reliable end-to-end agentic knowledge work [11].</w:t>
      </w:r>
    </w:p>
    <w:bookmarkEnd w:id="24"/>
    <w:bookmarkEnd w:id="25"/>
    <w:bookmarkStart w:id="27" w:name="X40d90c1b7f2f4e17446d5635f0254db03e3b701"/>
    <w:p>
      <w:pPr>
        <w:pStyle w:val="Heading2"/>
      </w:pPr>
      <w:r>
        <w:t xml:space="preserve">Safety work is moving below the interface layer</w:t>
      </w:r>
    </w:p>
    <w:bookmarkStart w:id="26" w:name="X6f50304450b90978565f508f64b7947ab6680a3"/>
    <w:p>
      <w:pPr>
        <w:pStyle w:val="Heading3"/>
      </w:pPr>
      <w:r>
        <w:t xml:space="preserve">OpenAI and DeepMind both argued for more structural approaches</w:t>
      </w:r>
    </w:p>
    <w:p>
      <w:pPr>
        <w:pStyle w:val="BlockText"/>
      </w:pPr>
      <w:r>
        <w:t xml:space="preserve">“</w:t>
      </w:r>
      <w:r>
        <w:t xml:space="preserve">Instead of assuming AI will always do what we intend, we ask: what if it doesn’t?</w:t>
      </w:r>
      <w:r>
        <w:t xml:space="preserve">”</w:t>
      </w:r>
      <w:r>
        <w:t xml:space="preserve"> </w:t>
      </w:r>
      <w:r>
        <w:t xml:space="preserve">[14]</w:t>
      </w:r>
    </w:p>
    <w:p>
      <w:pPr>
        <w:pStyle w:val="FirstParagraph"/>
      </w:pPr>
      <w:r>
        <w:t xml:space="preserve">OpenAI said its new work on broadly beneficial reinforcement learning used realistic conversations across 12 domains and improved a compute-matched model on 44 of 53 independent evaluations spanning deception, reward hacking, safety, health, and mental health; it also reported cross-domain transfer, where training only on health conversations improved non-health misalignment evaluations [15, 16, 17]. The company also reported that the trained model was harder to steer toward harmful behavior with adversarial prompts and showed preliminary resistance to harmful fine-tuning while remaining responsive to helpful instructions [18]. In parallel, Google DeepMind published an AI Control Roadmap arguing that most agent failures come from misinterpreting commands or becoming over-enthusiastic, and that there is a narrow window to embed structural security protocols before multi-agent systems scale globally [19, 20].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both efforts point toward safety techniques that try to shape persistent behavior and system design, rather than relying only on after-the-fact prompt guardrails [16, 18, 20].</w:t>
      </w:r>
    </w:p>
    <w:bookmarkEnd w:id="26"/>
    <w:bookmarkEnd w:id="27"/>
    <w:bookmarkStart w:id="51" w:name="Xc5e00a700532931023f6ae0f9d8e7b54597350d"/>
    <w:p>
      <w:pPr>
        <w:pStyle w:val="Heading2"/>
      </w:pPr>
      <w:r>
        <w:t xml:space="preserve">AI infrastructure is becoming energy policy</w:t>
      </w:r>
    </w:p>
    <w:bookmarkStart w:id="28" w:name="X8c6bac0520e7ea92ba1d1203b4a1961c6745984"/>
    <w:p>
      <w:pPr>
        <w:pStyle w:val="Heading3"/>
      </w:pPr>
      <w:r>
        <w:t xml:space="preserve">FERC took a meaningful step on large-load interconnection</w:t>
      </w:r>
    </w:p>
    <w:p>
      <w:pPr>
        <w:pStyle w:val="FirstParagraph"/>
      </w:pPr>
      <w:r>
        <w:t xml:space="preserve">FERC issued a large-load interconnection milestone that affects how AI factories, semiconductor fabrication support systems, and advanced manufacturing facilities connect to the grid [21]. The policy direction highlighted in the announcement includes large-load customers funding their own network upgrades, bringing new generation online, and offering flexible load; customers that can demonstrate flexibility may qualify for accelerated study timelines as short as 60 days [21]. NVIDIA also said it and Emerald AI are already working on flexible AI factories designed as grid assets, with commercial deployment beginning later this year [21].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AI capacity planning is no longer just a chip and data-center story; grid access and load flexibility are becoming part of the competitive stack too [21].</w:t>
      </w:r>
    </w:p>
    <w:p>
      <w:r>
        <w:pict>
          <v:rect style="width:0;height:1.5pt" o:hralign="center" o:hrstd="t" o:hr="t"/>
        </w:pict>
      </w:r>
    </w:p>
    <w:bookmarkEnd w:id="28"/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Ali Madani (Profluent) on the $2.25B Eli Lilly deal and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GPT-1.5 era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of biology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@midjourney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@iScienceLuvr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@poolsideai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How FERC’s Large-Load Interconnection Actions Help Address Grid Stress, Improve Affordability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9" Target="https://blogs.nvidia.com/blog/ferc-large-load-interconnection" TargetMode="External" /><Relationship Type="http://schemas.openxmlformats.org/officeDocument/2006/relationships/hyperlink" Id="rId35" Target="https://www.youtube.com/watch?v=Oes9W8XOELk" TargetMode="External" /><Relationship Type="http://schemas.openxmlformats.org/officeDocument/2006/relationships/hyperlink" Id="rId39" Target="https://x.com/ArtificialAnlys/status/2067744637155226101" TargetMode="External" /><Relationship Type="http://schemas.openxmlformats.org/officeDocument/2006/relationships/hyperlink" Id="rId41" Target="https://x.com/ClementDelangue/status/2067690103451918721" TargetMode="External" /><Relationship Type="http://schemas.openxmlformats.org/officeDocument/2006/relationships/hyperlink" Id="rId42" Target="https://x.com/GoogleDeepMind/status/2067594863785173257" TargetMode="External" /><Relationship Type="http://schemas.openxmlformats.org/officeDocument/2006/relationships/hyperlink" Id="rId47" Target="https://x.com/GoogleDeepMind/status/2067594866196877631" TargetMode="External" /><Relationship Type="http://schemas.openxmlformats.org/officeDocument/2006/relationships/hyperlink" Id="rId48" Target="https://x.com/GoogleDeepMind/status/2067594868180857165" TargetMode="External" /><Relationship Type="http://schemas.openxmlformats.org/officeDocument/2006/relationships/hyperlink" Id="rId31" Target="https://x.com/OpenAI/status/2067625110199247353" TargetMode="External" /><Relationship Type="http://schemas.openxmlformats.org/officeDocument/2006/relationships/hyperlink" Id="rId32" Target="https://x.com/OpenAI/status/2067625111717609504" TargetMode="External" /><Relationship Type="http://schemas.openxmlformats.org/officeDocument/2006/relationships/hyperlink" Id="rId33" Target="https://x.com/OpenAI/status/2067625113193951611" TargetMode="External" /><Relationship Type="http://schemas.openxmlformats.org/officeDocument/2006/relationships/hyperlink" Id="rId34" Target="https://x.com/OpenAI/status/2067625115182120972" TargetMode="External" /><Relationship Type="http://schemas.openxmlformats.org/officeDocument/2006/relationships/hyperlink" Id="rId29" Target="https://x.com/OpenAI/status/2067672740539306261" TargetMode="External" /><Relationship Type="http://schemas.openxmlformats.org/officeDocument/2006/relationships/hyperlink" Id="rId30" Target="https://x.com/OpenAI/status/2067672742426775728" TargetMode="External" /><Relationship Type="http://schemas.openxmlformats.org/officeDocument/2006/relationships/hyperlink" Id="rId43" Target="https://x.com/OpenAI/status/2067722688165232654" TargetMode="External" /><Relationship Type="http://schemas.openxmlformats.org/officeDocument/2006/relationships/hyperlink" Id="rId44" Target="https://x.com/OpenAI/status/2067722691675824637" TargetMode="External" /><Relationship Type="http://schemas.openxmlformats.org/officeDocument/2006/relationships/hyperlink" Id="rId45" Target="https://x.com/OpenAI/status/2067722693714338044" TargetMode="External" /><Relationship Type="http://schemas.openxmlformats.org/officeDocument/2006/relationships/hyperlink" Id="rId46" Target="https://x.com/OpenAI/status/2067722695270334549" TargetMode="External" /><Relationship Type="http://schemas.openxmlformats.org/officeDocument/2006/relationships/hyperlink" Id="rId37" Target="https://x.com/fchollet/status/2067589665830375682" TargetMode="External" /><Relationship Type="http://schemas.openxmlformats.org/officeDocument/2006/relationships/hyperlink" Id="rId38" Target="https://x.com/iScienceLuvr/status/2067384062910832812" TargetMode="External" /><Relationship Type="http://schemas.openxmlformats.org/officeDocument/2006/relationships/hyperlink" Id="rId36" Target="https://x.com/midjourney/status/2067422898407837797" TargetMode="External" /><Relationship Type="http://schemas.openxmlformats.org/officeDocument/2006/relationships/hyperlink" Id="rId40" Target="https://x.com/poolsideai/status/206762335323021744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9" Target="https://blogs.nvidia.com/blog/ferc-large-load-interconnection" TargetMode="External" /><Relationship Type="http://schemas.openxmlformats.org/officeDocument/2006/relationships/hyperlink" Id="rId35" Target="https://www.youtube.com/watch?v=Oes9W8XOELk" TargetMode="External" /><Relationship Type="http://schemas.openxmlformats.org/officeDocument/2006/relationships/hyperlink" Id="rId39" Target="https://x.com/ArtificialAnlys/status/2067744637155226101" TargetMode="External" /><Relationship Type="http://schemas.openxmlformats.org/officeDocument/2006/relationships/hyperlink" Id="rId41" Target="https://x.com/ClementDelangue/status/2067690103451918721" TargetMode="External" /><Relationship Type="http://schemas.openxmlformats.org/officeDocument/2006/relationships/hyperlink" Id="rId42" Target="https://x.com/GoogleDeepMind/status/2067594863785173257" TargetMode="External" /><Relationship Type="http://schemas.openxmlformats.org/officeDocument/2006/relationships/hyperlink" Id="rId47" Target="https://x.com/GoogleDeepMind/status/2067594866196877631" TargetMode="External" /><Relationship Type="http://schemas.openxmlformats.org/officeDocument/2006/relationships/hyperlink" Id="rId48" Target="https://x.com/GoogleDeepMind/status/2067594868180857165" TargetMode="External" /><Relationship Type="http://schemas.openxmlformats.org/officeDocument/2006/relationships/hyperlink" Id="rId31" Target="https://x.com/OpenAI/status/2067625110199247353" TargetMode="External" /><Relationship Type="http://schemas.openxmlformats.org/officeDocument/2006/relationships/hyperlink" Id="rId32" Target="https://x.com/OpenAI/status/2067625111717609504" TargetMode="External" /><Relationship Type="http://schemas.openxmlformats.org/officeDocument/2006/relationships/hyperlink" Id="rId33" Target="https://x.com/OpenAI/status/2067625113193951611" TargetMode="External" /><Relationship Type="http://schemas.openxmlformats.org/officeDocument/2006/relationships/hyperlink" Id="rId34" Target="https://x.com/OpenAI/status/2067625115182120972" TargetMode="External" /><Relationship Type="http://schemas.openxmlformats.org/officeDocument/2006/relationships/hyperlink" Id="rId29" Target="https://x.com/OpenAI/status/2067672740539306261" TargetMode="External" /><Relationship Type="http://schemas.openxmlformats.org/officeDocument/2006/relationships/hyperlink" Id="rId30" Target="https://x.com/OpenAI/status/2067672742426775728" TargetMode="External" /><Relationship Type="http://schemas.openxmlformats.org/officeDocument/2006/relationships/hyperlink" Id="rId43" Target="https://x.com/OpenAI/status/2067722688165232654" TargetMode="External" /><Relationship Type="http://schemas.openxmlformats.org/officeDocument/2006/relationships/hyperlink" Id="rId44" Target="https://x.com/OpenAI/status/2067722691675824637" TargetMode="External" /><Relationship Type="http://schemas.openxmlformats.org/officeDocument/2006/relationships/hyperlink" Id="rId45" Target="https://x.com/OpenAI/status/2067722693714338044" TargetMode="External" /><Relationship Type="http://schemas.openxmlformats.org/officeDocument/2006/relationships/hyperlink" Id="rId46" Target="https://x.com/OpenAI/status/2067722695270334549" TargetMode="External" /><Relationship Type="http://schemas.openxmlformats.org/officeDocument/2006/relationships/hyperlink" Id="rId37" Target="https://x.com/fchollet/status/2067589665830375682" TargetMode="External" /><Relationship Type="http://schemas.openxmlformats.org/officeDocument/2006/relationships/hyperlink" Id="rId38" Target="https://x.com/iScienceLuvr/status/2067384062910832812" TargetMode="External" /><Relationship Type="http://schemas.openxmlformats.org/officeDocument/2006/relationships/hyperlink" Id="rId36" Target="https://x.com/midjourney/status/2067422898407837797" TargetMode="External" /><Relationship Type="http://schemas.openxmlformats.org/officeDocument/2006/relationships/hyperlink" Id="rId40" Target="https://x.com/poolsideai/status/20676233532302174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AI Expands, Open Models Close Gaps, and the Grid Becomes an AI Issue</dc:title>
  <dc:creator>AI News Digest</dc:creator>
  <cp:keywords/>
  <dcterms:created xsi:type="dcterms:W3CDTF">2026-06-21T07:54:49Z</dcterms:created>
  <dcterms:modified xsi:type="dcterms:W3CDTF">2026-06-21T07:54:49Z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2026-06-19</vt:lpwstr>
  </property>
</Properties>
</file>