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High Ground strategy, durable moats, and why production agents need “trustless execution”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2026-02-19</w:t>
      </w:r>
    </w:p>
    <w:bookmarkStart w:id="53" w:name="X3a12d5d87ac50894793a07b3137a7226a321b1a"/>
    <w:p>
      <w:pPr>
        <w:pStyle w:val="Heading1"/>
      </w:pPr>
      <w:r>
        <w:t xml:space="preserve">High Ground strategy, durable moats, and why production agents need</w:t>
      </w:r>
      <w:r>
        <w:t xml:space="preserve"> </w:t>
      </w:r>
      <w:r>
        <w:t xml:space="preserve">“</w:t>
      </w:r>
      <w:r>
        <w:t xml:space="preserve">trustless execution</w:t>
      </w:r>
      <w:r>
        <w:t xml:space="preserve">”</w:t>
      </w:r>
    </w:p>
    <w:p>
      <w:pPr>
        <w:pStyle w:val="FirstParagraph"/>
      </w:pPr>
      <w:r>
        <w:rPr>
          <w:i/>
          <w:iCs/>
        </w:rPr>
        <w:t xml:space="preserve">By Recommended Reading from Tech Founders • February 19, 2026</w:t>
      </w:r>
    </w:p>
    <w:p>
      <w:pPr>
        <w:pStyle w:val="BodyText"/>
      </w:pPr>
      <w:r>
        <w:t xml:space="preserve">Today’s strongest picks center on durable advantage and real-world execution: a podcast episode unpacking Ramp’s expansion beyond interchange into a broader finance stack, plus two foundational strategy reads (moats and SpaceX-style integration) and an article framing production AI agents around</w:t>
      </w:r>
      <w:r>
        <w:t xml:space="preserve"> </w:t>
      </w:r>
      <w:r>
        <w:t xml:space="preserve">“</w:t>
      </w:r>
      <w:r>
        <w:t xml:space="preserve">trustless code and execution.</w:t>
      </w:r>
      <w:r>
        <w:t xml:space="preserve">”</w:t>
      </w:r>
    </w:p>
    <w:bookmarkStart w:id="29" w:name="X3c94559ba54a94987443a808584ddc206a8172f"/>
    <w:p>
      <w:pPr>
        <w:pStyle w:val="Heading2"/>
      </w:pPr>
      <w:r>
        <w:t xml:space="preserve">Most compelling recommendation (densest, most applied insight)</w:t>
      </w:r>
    </w:p>
    <w:bookmarkStart w:id="28" w:name="X080eb54cd68f13ef1873cd72ce9dde9f5b9c3db"/>
    <w:p>
      <w:pPr>
        <w:pStyle w:val="Heading3"/>
      </w:pPr>
      <w:r>
        <w:rPr>
          <w:i/>
          <w:iCs/>
        </w:rPr>
        <w:t xml:space="preserve">Cheeky Pint</w:t>
      </w:r>
      <w:r>
        <w:t xml:space="preserve"> </w:t>
      </w:r>
      <w:r>
        <w:t xml:space="preserve">— episode featuring Eric Glyman (Ramp CEO) (podcast episode)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Title</w:t>
      </w:r>
      <w:r>
        <w:t xml:space="preserve">:</w:t>
      </w:r>
      <w:r>
        <w:t xml:space="preserve"> </w:t>
      </w:r>
      <w:r>
        <w:rPr>
          <w:i/>
          <w:iCs/>
        </w:rPr>
        <w:t xml:space="preserve">Cheeky Pint</w:t>
      </w:r>
      <w:r>
        <w:t xml:space="preserve"> </w:t>
      </w:r>
      <w:r>
        <w:t xml:space="preserve">(latest episode; guest: Eric Glyman)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Content type</w:t>
      </w:r>
      <w:r>
        <w:t xml:space="preserve">: Podcast episode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Author/creator</w:t>
      </w:r>
      <w:r>
        <w:t xml:space="preserve">: John Collison (host); Eric Glyman (guest)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Link/URL</w:t>
      </w:r>
      <w:r>
        <w:t xml:space="preserve">: Not provided in the source excerpt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Who recommended it</w:t>
      </w:r>
      <w:r>
        <w:t xml:space="preserve">: Packy McCormick (Not Boring)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Key takeaway (as shared)</w:t>
      </w:r>
      <w:r>
        <w:t xml:space="preserve">: Glyman describes Ramp’s shift from being mostly card interchange-driven to a broader finance stack: a few years ago, Ramp’s gross profit was</w:t>
      </w:r>
      <w:r>
        <w:t xml:space="preserve"> </w:t>
      </w:r>
      <w:r>
        <w:rPr>
          <w:b/>
          <w:bCs/>
        </w:rPr>
        <w:t xml:space="preserve">90%+ card interchange</w:t>
      </w:r>
      <w:r>
        <w:t xml:space="preserve">, while today</w:t>
      </w:r>
      <w:r>
        <w:t xml:space="preserve"> </w:t>
      </w:r>
      <w:r>
        <w:rPr>
          <w:b/>
          <w:bCs/>
        </w:rPr>
        <w:t xml:space="preserve">non-card businesses</w:t>
      </w:r>
      <w:r>
        <w:t xml:space="preserve"> </w:t>
      </w:r>
      <w:r>
        <w:t xml:space="preserve">(bill pay, treasury, procurement, travel, software) are expected to make up the majority of contribution profit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 McCormick frames this as a</w:t>
      </w:r>
      <w:r>
        <w:t xml:space="preserve"> </w:t>
      </w:r>
      <w:r>
        <w:t xml:space="preserve">“</w:t>
      </w:r>
      <w:r>
        <w:t xml:space="preserve">High Ground</w:t>
      </w:r>
      <w:r>
        <w:t xml:space="preserve">”</w:t>
      </w:r>
      <w:r>
        <w:t xml:space="preserve"> </w:t>
      </w:r>
      <w:r>
        <w:t xml:space="preserve">strategy: win the transaction layer, then expand into adjacent finance tools, fueled by compounding data and product breadth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it matters</w:t>
      </w:r>
      <w:r>
        <w:t xml:space="preserve">: It’s an operator-level walkthrough of how a card-first wedge can become a platform strategy—tying product expansion to data advantage and distribution scale (including the claim that Ramp now</w:t>
      </w:r>
      <w:r>
        <w:t xml:space="preserve"> </w:t>
      </w:r>
      <w:r>
        <w:t xml:space="preserve">“</w:t>
      </w:r>
      <w:r>
        <w:t xml:space="preserve">powers more than 2% of all corporate and small business card transactions in the United States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The north star when it comes to agents being utilized in production/businesses isn’t actually more intelligence, but it’s</w:t>
      </w:r>
      <w:r>
        <w:t xml:space="preserve"> </w:t>
      </w:r>
      <w:r>
        <w:t xml:space="preserve">‘</w:t>
      </w:r>
      <w:r>
        <w:t xml:space="preserve">trustless code and execution.</w:t>
      </w:r>
      <w:r>
        <w:t xml:space="preserve">’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52" w:name="additional-high-signal-recommendations"/>
    <w:p>
      <w:pPr>
        <w:pStyle w:val="Heading2"/>
      </w:pPr>
      <w:r>
        <w:t xml:space="preserve">Additional high-signal recommendations</w:t>
      </w:r>
    </w:p>
    <w:bookmarkStart w:id="36" w:name="X3d39b41ee015b823cfccd1b907c8d62079c22dd"/>
    <w:p>
      <w:pPr>
        <w:pStyle w:val="Heading3"/>
      </w:pPr>
      <w:r>
        <w:rPr>
          <w:i/>
          <w:iCs/>
        </w:rPr>
        <w:t xml:space="preserve">7 Powers: The Foundations of Business Strategy</w:t>
      </w:r>
      <w:r>
        <w:t xml:space="preserve"> </w:t>
      </w:r>
      <w:r>
        <w:t xml:space="preserve">(book)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Title</w:t>
      </w:r>
      <w:r>
        <w:t xml:space="preserve">:</w:t>
      </w:r>
      <w:r>
        <w:t xml:space="preserve"> </w:t>
      </w:r>
      <w:r>
        <w:rPr>
          <w:i/>
          <w:iCs/>
        </w:rPr>
        <w:t xml:space="preserve">7 Powers</w:t>
      </w:r>
      <w:r>
        <w:t xml:space="preserve"> </w:t>
      </w:r>
      <w:r>
        <w:rPr>
          <w:rStyle w:val="FootnoteReference"/>
        </w:rPr>
        <w:footnoteReference w:id="30"/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Content type</w:t>
      </w:r>
      <w:r>
        <w:t xml:space="preserve">: Book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Author/creator</w:t>
      </w:r>
      <w:r>
        <w:t xml:space="preserve">: Not specified in the source excerpt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Link/URL</w:t>
      </w:r>
      <w:r>
        <w:t xml:space="preserve">: https://www.amazon.com/7-Powers-Foundations-Business-Strategy/dp/0998116319</w:t>
      </w:r>
      <w:r>
        <w:t xml:space="preserve"> </w:t>
      </w:r>
      <w:r>
        <w:rPr>
          <w:rStyle w:val="FootnoteReference"/>
        </w:rPr>
        <w:footnoteReference w:id="32"/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Who recommended it</w:t>
      </w:r>
      <w:r>
        <w:t xml:space="preserve">: Packy McCormick</w:t>
      </w:r>
      <w:r>
        <w:t xml:space="preserve"> </w:t>
      </w:r>
      <w:r>
        <w:rPr>
          <w:rStyle w:val="FootnoteReference"/>
        </w:rPr>
        <w:footnoteReference w:id="33"/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Key takeaway (as shared)</w:t>
      </w:r>
      <w:r>
        <w:t xml:space="preserve">: McCormick’s framing is that</w:t>
      </w:r>
      <w:r>
        <w:t xml:space="preserve"> </w:t>
      </w:r>
      <w:r>
        <w:t xml:space="preserve">“</w:t>
      </w:r>
      <w:r>
        <w:t xml:space="preserve">the moats are the same as they’ve always been,</w:t>
      </w:r>
      <w:r>
        <w:t xml:space="preserve">”</w:t>
      </w:r>
      <w:r>
        <w:t xml:space="preserve"> </w:t>
      </w:r>
      <w:r>
        <w:t xml:space="preserve">and he points readers to</w:t>
      </w:r>
      <w:r>
        <w:t xml:space="preserve"> </w:t>
      </w:r>
      <w:r>
        <w:rPr>
          <w:i/>
          <w:iCs/>
        </w:rPr>
        <w:t xml:space="preserve">7 Powers</w:t>
      </w:r>
      <w:r>
        <w:t xml:space="preserve"> </w:t>
      </w:r>
      <w:r>
        <w:t xml:space="preserve">as the reference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Why it matters</w:t>
      </w:r>
      <w:r>
        <w:t xml:space="preserve">: A direct pointer to a durable strategy framework—positioned here as a way to think clearly about moats (especially after you’ve built something</w:t>
      </w:r>
      <w:r>
        <w:t xml:space="preserve"> </w:t>
      </w:r>
      <w:r>
        <w:t xml:space="preserve">“</w:t>
      </w:r>
      <w:r>
        <w:t xml:space="preserve">worth protecting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bookmarkEnd w:id="36"/>
    <w:bookmarkStart w:id="43" w:name="Xf158dc94ecd88423dc8c71987cd1c41b05bbf53"/>
    <w:p>
      <w:pPr>
        <w:pStyle w:val="Heading3"/>
      </w:pPr>
      <w:r>
        <w:t xml:space="preserve">“</w:t>
      </w:r>
      <w:r>
        <w:t xml:space="preserve">The SpaceX Starship is a very big deal</w:t>
      </w:r>
      <w:r>
        <w:t xml:space="preserve">”</w:t>
      </w:r>
      <w:r>
        <w:t xml:space="preserve"> </w:t>
      </w:r>
      <w:r>
        <w:t xml:space="preserve">(blog post)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Title</w:t>
      </w:r>
      <w:r>
        <w:t xml:space="preserve">:</w:t>
      </w:r>
      <w:r>
        <w:t xml:space="preserve"> </w:t>
      </w:r>
      <w:r>
        <w:t xml:space="preserve">“</w:t>
      </w:r>
      <w:r>
        <w:t xml:space="preserve">The SpaceX Starship is a very big deal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Content type</w:t>
      </w:r>
      <w:r>
        <w:t xml:space="preserve">: Blog post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Author/creator</w:t>
      </w:r>
      <w:r>
        <w:t xml:space="preserve">: Casey Handmer</w:t>
      </w:r>
      <w:r>
        <w:t xml:space="preserve"> </w:t>
      </w:r>
      <w:r>
        <w:rPr>
          <w:rStyle w:val="FootnoteReference"/>
        </w:rPr>
        <w:footnoteReference w:id="38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Link/URL</w:t>
      </w:r>
      <w:r>
        <w:t xml:space="preserve">: https://caseyhandmer.wordpress.com/2019/10/29/the-spacex-starship-is-a-very-big-deal/</w:t>
      </w:r>
      <w:r>
        <w:t xml:space="preserve"> </w:t>
      </w:r>
      <w:r>
        <w:rPr>
          <w:rStyle w:val="FootnoteReference"/>
        </w:rPr>
        <w:footnoteReference w:id="39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Who recommended it</w:t>
      </w:r>
      <w:r>
        <w:t xml:space="preserve">: Packy McCormick</w:t>
      </w:r>
      <w:r>
        <w:t xml:space="preserve"> </w:t>
      </w:r>
      <w:r>
        <w:rPr>
          <w:rStyle w:val="FootnoteReference"/>
        </w:rPr>
        <w:footnoteReference w:id="40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Key takeaway (as shared)</w:t>
      </w:r>
      <w:r>
        <w:t xml:space="preserve">: McCormick calls it</w:t>
      </w:r>
      <w:r>
        <w:t xml:space="preserve"> </w:t>
      </w:r>
      <w:r>
        <w:t xml:space="preserve">“</w:t>
      </w:r>
      <w:r>
        <w:t xml:space="preserve">an excellent read</w:t>
      </w:r>
      <w:r>
        <w:t xml:space="preserve">”</w:t>
      </w:r>
      <w:r>
        <w:t xml:space="preserve"> </w:t>
      </w:r>
      <w:r>
        <w:t xml:space="preserve">in the context of SpaceX’s vertical integration dynamic—reusability lowering cost-to-orbit, enabling Starlink, which helps fund Starship, reinforcing the system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Why it matters</w:t>
      </w:r>
      <w:r>
        <w:t xml:space="preserve">: Recommended as a concrete case study for how cost breakthroughs and integration can create compounding advantages across an ecosystem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bookmarkEnd w:id="43"/>
    <w:bookmarkStart w:id="50" w:name="X818305268c11ee781675b375e313b15b04ef783"/>
    <w:p>
      <w:pPr>
        <w:pStyle w:val="Heading3"/>
      </w:pPr>
      <w:r>
        <w:t xml:space="preserve">X article on AI agents:</w:t>
      </w:r>
      <w:r>
        <w:t xml:space="preserve"> </w:t>
      </w:r>
      <w:r>
        <w:t xml:space="preserve">“</w:t>
      </w:r>
      <w:r>
        <w:t xml:space="preserve">trustless code and execution</w:t>
      </w:r>
      <w:r>
        <w:t xml:space="preserve">”</w:t>
      </w:r>
      <w:r>
        <w:t xml:space="preserve"> </w:t>
      </w:r>
      <w:r>
        <w:t xml:space="preserve">(X article)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Title</w:t>
      </w:r>
      <w:r>
        <w:t xml:space="preserve">: Not specified in the shared post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Content type</w:t>
      </w:r>
      <w:r>
        <w:t xml:space="preserve">: X article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Author/creator</w:t>
      </w:r>
      <w:r>
        <w:t xml:space="preserve">: Not specified in the source excerpt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Link/URL</w:t>
      </w:r>
      <w:r>
        <w:t xml:space="preserve">: http://x.com/i/article/2023588804565909504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Who recommended it</w:t>
      </w:r>
      <w:r>
        <w:t xml:space="preserve">: Ryan Hoover (</w:t>
      </w:r>
      <w:r>
        <w:t xml:space="preserve">(</w:t>
      </w:r>
      <w:r>
        <w:rPr>
          <w:b/>
          <w:bCs/>
        </w:rPr>
        <w:t xml:space="preserve">rrhoover?</w:t>
      </w:r>
      <w:r>
        <w:t xml:space="preserve">)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46"/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Key takeaway (as highlighted by Hoover)</w:t>
      </w:r>
      <w:r>
        <w:t xml:space="preserve">: Hoover strongly agrees with the article’s claim that the north star for agents in production isn’t</w:t>
      </w:r>
      <w:r>
        <w:t xml:space="preserve"> </w:t>
      </w:r>
      <w:r>
        <w:t xml:space="preserve">“</w:t>
      </w:r>
      <w:r>
        <w:t xml:space="preserve">more intelligence,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trustless code and execution</w:t>
      </w:r>
      <w:r>
        <w:rPr>
          <w:b/>
          <w:bCs/>
        </w:rPr>
        <w:t xml:space="preserve">”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Why it matters</w:t>
      </w:r>
      <w:r>
        <w:t xml:space="preserve">: It spotlights a practical evaluation criterion for deploying agents in real businesses: reliability and verifiable execution, not just model capability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pStyle w:val="FirstParagraph"/>
      </w:pPr>
      <w:r>
        <w:rPr>
          <w:i/>
          <w:iCs/>
        </w:rPr>
        <w:t xml:space="preserve">Context link (how it was shared)</w:t>
      </w:r>
      <w:r>
        <w:t xml:space="preserve">: Hoover pointed to</w:t>
      </w:r>
      <w:r>
        <w:t xml:space="preserve"> </w:t>
      </w:r>
      <w:r>
        <w:t xml:space="preserve">(</w:t>
      </w:r>
      <w:r>
        <w:rPr>
          <w:b/>
          <w:bCs/>
        </w:rPr>
        <w:t xml:space="preserve">brexton?</w:t>
      </w:r>
      <w:r>
        <w:t xml:space="preserve">)</w:t>
      </w:r>
      <w:r>
        <w:t xml:space="preserve">’s post sharing the article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0"/>
    <w:bookmarkStart w:id="51" w:name="sources"/>
    <w:p>
      <w:pPr>
        <w:pStyle w:val="Heading3"/>
      </w:pPr>
      <w:r>
        <w:t xml:space="preserve">Sources</w:t>
      </w:r>
    </w:p>
    <w:p>
      <w:pPr>
        <w:pStyle w:val="Compact"/>
        <w:numPr>
          <w:ilvl w:val="0"/>
          <w:numId w:val="1005"/>
        </w:numPr>
      </w:pPr>
      <w:hyperlink r:id="rId21">
        <w:r>
          <w:rPr>
            <w:rStyle w:val="Hyperlink"/>
          </w:rPr>
          <w:t xml:space="preserve">Power in the Age of Intelligence</w:t>
        </w:r>
      </w:hyperlink>
    </w:p>
    <w:p>
      <w:pPr>
        <w:pStyle w:val="Compact"/>
        <w:numPr>
          <w:ilvl w:val="0"/>
          <w:numId w:val="1005"/>
        </w:numPr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rrhoover?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5"/>
        </w:numPr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brexton?</w:t>
        </w:r>
        <w:r>
          <w:rPr>
            <w:rStyle w:val="Hyperlink"/>
          </w:rPr>
          <w:t xml:space="preserve">)</w:t>
        </w:r>
      </w:hyperlink>
    </w:p>
    <w:bookmarkEnd w:id="51"/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rrhoover?</w:t>
        </w:r>
        <w:r>
          <w:rPr>
            <w:rStyle w:val="Hyperlink"/>
          </w:rPr>
          <w:t xml:space="preserve">)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Power in the Age of Intelligence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brexton?</w:t>
        </w:r>
        <w:r>
          <w:rPr>
            <w:rStyle w:val="Hyperlink"/>
          </w:rPr>
          <w:t xml:space="preserve">)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rrhoover?</w:t>
        </w:r>
        <w:r>
          <w:rPr>
            <w:rStyle w:val="Hyperlink"/>
          </w:rPr>
          <w:t xml:space="preserve">)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rrhoover?</w:t>
        </w:r>
        <w:r>
          <w:rPr>
            <w:rStyle w:val="Hyperlink"/>
          </w:rPr>
          <w:t xml:space="preserve">)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rrhoover?</w:t>
        </w:r>
        <w:r>
          <w:rPr>
            <w:rStyle w:val="Hyperlink"/>
          </w:rPr>
          <w:t xml:space="preserve">)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rrhoover?</w:t>
        </w:r>
        <w:r>
          <w:rPr>
            <w:rStyle w:val="Hyperlink"/>
          </w:rPr>
          <w:t xml:space="preserve">)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notboring.co/p/power-in-the-age-of-intelligence" TargetMode="External" /><Relationship Type="http://schemas.openxmlformats.org/officeDocument/2006/relationships/hyperlink" Id="rId45" Target="https://x.com/brexton/status/2023846309858550198" TargetMode="External" /><Relationship Type="http://schemas.openxmlformats.org/officeDocument/2006/relationships/hyperlink" Id="rId27" Target="https://x.com/rrhoover/status/202409718439264294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notboring.co/p/power-in-the-age-of-intelligence" TargetMode="External" /><Relationship Type="http://schemas.openxmlformats.org/officeDocument/2006/relationships/hyperlink" Id="rId45" Target="https://x.com/brexton/status/2023846309858550198" TargetMode="External" /><Relationship Type="http://schemas.openxmlformats.org/officeDocument/2006/relationships/hyperlink" Id="rId27" Target="https://x.com/rrhoover/status/202409718439264294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Ground strategy, durable moats, and why production agents need “trustless execution”</dc:title>
  <dc:creator>Recommended Reading from Tech Founders</dc:creator>
  <cp:keywords/>
  <dcterms:created xsi:type="dcterms:W3CDTF">2026-02-19T22:31:46Z</dcterms:created>
  <dcterms:modified xsi:type="dcterms:W3CDTF">2026-02-19T22:31:46Z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2026-02-19</vt:lpwstr>
  </property>
</Properties>
</file>