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Jev’s Control Layer Meets Muse’s Consumer-Agent Push</w:t>
      </w:r>
    </w:p>
    <w:p>
      <w:pPr>
        <w:pStyle w:val="Author"/>
      </w:pPr>
      <w:r>
        <w:t xml:space="preserve">AI High Signal Digest</w:t>
      </w:r>
    </w:p>
    <w:p>
      <w:pPr>
        <w:pStyle w:val="Date"/>
      </w:pPr>
      <w:r>
        <w:t xml:space="preserve">2026-09-21</w:t>
      </w:r>
    </w:p>
    <w:bookmarkStart w:id="42" w:name="X65f916291c59780c2cec034a2c3ac2d5b7f07dd"/>
    <w:p>
      <w:pPr>
        <w:pStyle w:val="Heading1"/>
      </w:pPr>
      <w:r>
        <w:t xml:space="preserve">Jev’s Control Layer Meets Muse’s Consumer-Agent Push</w:t>
      </w:r>
    </w:p>
    <w:p>
      <w:pPr>
        <w:pStyle w:val="FirstParagraph"/>
      </w:pPr>
      <w:r>
        <w:rPr>
          <w:iCs/>
          <w:i/>
        </w:rPr>
        <w:t xml:space="preserve">By AI High Signal Digest • September 21, 2026</w:t>
      </w:r>
    </w:p>
    <w:p>
      <w:pPr>
        <w:pStyle w:val="BodyText"/>
      </w:pPr>
      <w:r>
        <w:t xml:space="preserve">A concise intelligence brief on Jev’s evaluation economics, Muse’s consumer-agent traction, open model launches, and the infrastructure and governance shifts around agentic AI.</w:t>
      </w:r>
    </w:p>
    <w:bookmarkStart w:id="20" w:name="top-stories"/>
    <w:p>
      <w:pPr>
        <w:pStyle w:val="Heading2"/>
      </w:pPr>
      <w:r>
        <w:t xml:space="preserve">Top Stories</w:t>
      </w:r>
    </w:p>
    <w:p>
      <w:pPr>
        <w:pStyle w:val="FirstParagraph"/>
      </w:pPr>
      <w:r>
        <w:rPr>
          <w:iCs/>
          <w:i/>
        </w:rPr>
        <w:t xml:space="preserve">Why it matters: The competitive frontier is shifting from raw model output to systems that make bounded decisions and complete everyday tasks.</w:t>
      </w:r>
    </w:p>
    <w:p>
      <w:pPr>
        <w:pStyle w:val="BodyText"/>
      </w:pPr>
      <w:r>
        <w:rPr>
          <w:bCs/>
          <w:b/>
        </w:rPr>
        <w:t xml:space="preserve">Jev is turning bounded judgment into agent infrastructure.</w:t>
      </w:r>
      <w:r>
        <w:t xml:space="preserve"> </w:t>
      </w:r>
      <w:r>
        <w:t xml:space="preserve">TypeSafe describes Jev as a non-generative</w:t>
      </w:r>
      <w:r>
        <w:t xml:space="preserve"> </w:t>
      </w:r>
      <w:r>
        <w:t xml:space="preserve">“</w:t>
      </w:r>
      <w:r>
        <w:t xml:space="preserve">System One</w:t>
      </w:r>
      <w:r>
        <w:t xml:space="preserve">”</w:t>
      </w:r>
      <w:r>
        <w:t xml:space="preserve"> </w:t>
      </w:r>
      <w:r>
        <w:t xml:space="preserve">model that returns typed answers and probabilities for software to use directly. In LangChain’s narrow test—five weather requests, fixed traces, and 100 repetitions—it matched the human oracle on all 500 binary decisions; its observed score variance was 92–913× lower than the tested LLM judges. The result is observational and still needs validation on other agents and production workflows, but the reported $0.00035-per-judgment cost makes frequent online checks economically plausible. [1]</w:t>
      </w:r>
    </w:p>
    <w:p>
      <w:pPr>
        <w:pStyle w:val="BodyText"/>
      </w:pPr>
      <w:r>
        <w:rPr>
          <w:bCs/>
          <w:b/>
        </w:rPr>
        <w:t xml:space="preserve">Muse is making agentic workflows accessible outside the AI bubble.</w:t>
      </w:r>
      <w:r>
        <w:t xml:space="preserve"> </w:t>
      </w:r>
      <w:r>
        <w:t xml:space="preserve">One user report says it found and booked a barber under budget, schedule, review, and haircut constraints without leaving the app. Alexandr Wang says nontechnical users can use Muse agents without knowing CoT, MCP, or CLI. A related product description says its computer layer routes work across 15-plus models, including GPT and Claude, while customized Muse Spark models are co-developed with the harness. Early reports therefore point to orchestration and distribution as important product differentiators alongside model capability. [2, 3, 4]</w:t>
      </w:r>
    </w:p>
    <w:bookmarkEnd w:id="20"/>
    <w:bookmarkStart w:id="21" w:name="research-innovation"/>
    <w:p>
      <w:pPr>
        <w:pStyle w:val="Heading2"/>
      </w:pPr>
      <w:r>
        <w:t xml:space="preserve">Research &amp; Innovation</w:t>
      </w:r>
    </w:p>
    <w:p>
      <w:pPr>
        <w:pStyle w:val="FirstParagraph"/>
      </w:pPr>
      <w:r>
        <w:rPr>
          <w:iCs/>
          <w:i/>
        </w:rPr>
        <w:t xml:space="preserve">Why it matters: New results are improving the control loop around models—reducing token cost, staging verification, and exposing safety failures that single prompts miss.</w:t>
      </w:r>
    </w:p>
    <w:p>
      <w:pPr>
        <w:numPr>
          <w:ilvl w:val="0"/>
          <w:numId w:val="1001"/>
        </w:numPr>
        <w:pStyle w:val="Compact"/>
      </w:pPr>
      <w:r>
        <w:rPr>
          <w:bCs/>
          <w:b/>
        </w:rPr>
        <w:t xml:space="preserve">NVIDIA’s SoL-Pi</w:t>
      </w:r>
      <w:r>
        <w:t xml:space="preserve"> </w:t>
      </w:r>
      <w:r>
        <w:t xml:space="preserve">automates search over agent-harness mechanisms across repository-derived and verifier-driven environments. Four retained mechanisms nearly halve token traffic while matching baselines on GPT-5.6 Sol and Opus 5; on 51 EdgeBench tasks, the authors estimate roughly one-third lower API cost. [5]</w:t>
      </w:r>
    </w:p>
    <w:p>
      <w:pPr>
        <w:numPr>
          <w:ilvl w:val="0"/>
          <w:numId w:val="1001"/>
        </w:numPr>
        <w:pStyle w:val="Compact"/>
      </w:pPr>
      <w:r>
        <w:rPr>
          <w:bCs/>
          <w:b/>
        </w:rPr>
        <w:t xml:space="preserve">Google Research’s Stellar Colosseum</w:t>
      </w:r>
      <w:r>
        <w:t xml:space="preserve"> </w:t>
      </w:r>
      <w:r>
        <w:t xml:space="preserve">uses staged proof search, readiness gates, parallel candidate generation, targeted falsification, and section-level feedback. With Gemini 3.1 Pro and 3.7 Flash, it reports 71.0% on TCS-Bench and 218/222 Codeforces solves when given execution feedback. [5]</w:t>
      </w:r>
    </w:p>
    <w:p>
      <w:pPr>
        <w:numPr>
          <w:ilvl w:val="0"/>
          <w:numId w:val="1001"/>
        </w:numPr>
        <w:pStyle w:val="Compact"/>
      </w:pPr>
      <w:r>
        <w:rPr>
          <w:bCs/>
          <w:b/>
        </w:rPr>
        <w:t xml:space="preserve">Microsoft’s</w:t>
      </w:r>
      <w:r>
        <w:rPr>
          <w:bCs/>
          <w:b/>
        </w:rPr>
        <w:t xml:space="preserve"> </w:t>
      </w:r>
      <w:r>
        <w:rPr>
          <w:bCs/>
          <w:b/>
        </w:rPr>
        <w:t xml:space="preserve">“</w:t>
      </w:r>
      <w:r>
        <w:rPr>
          <w:bCs/>
          <w:b/>
        </w:rPr>
        <w:t xml:space="preserve">capability laundering</w:t>
      </w:r>
      <w:r>
        <w:rPr>
          <w:bCs/>
          <w:b/>
        </w:rPr>
        <w:t xml:space="preserve">”</w:t>
      </w:r>
      <w:r>
        <w:rPr>
          <w:bCs/>
          <w:b/>
        </w:rPr>
        <w:t xml:space="preserve"> </w:t>
      </w:r>
      <w:r>
        <w:rPr>
          <w:bCs/>
          <w:b/>
        </w:rPr>
        <w:t xml:space="preserve">result</w:t>
      </w:r>
      <w:r>
        <w:t xml:space="preserve"> </w:t>
      </w:r>
      <w:r>
        <w:t xml:space="preserve">shows a local unaligned model splitting a harmful objective into benign-looking subquestions, querying an aligned frontier model in separate sessions, and recombining the answers. Gemma-4-31B recovered 8/14 failed CyBench tasks after GPT-5.5 consultation; a CBRN-chain score rose from 62.3 to 83.1, supporting session- and account-level monitoring. [5]</w:t>
      </w:r>
    </w:p>
    <w:bookmarkEnd w:id="21"/>
    <w:bookmarkStart w:id="22" w:name="products-launches"/>
    <w:p>
      <w:pPr>
        <w:pStyle w:val="Heading2"/>
      </w:pPr>
      <w:r>
        <w:t xml:space="preserve">Products &amp; Launches</w:t>
      </w:r>
    </w:p>
    <w:p>
      <w:pPr>
        <w:pStyle w:val="FirstParagraph"/>
      </w:pPr>
      <w:r>
        <w:rPr>
          <w:iCs/>
          <w:i/>
        </w:rPr>
        <w:t xml:space="preserve">Why it matters: Open releases and narrow, high-frequency tools are becoming easier to deploy, not just easier to demo.</w:t>
      </w:r>
    </w:p>
    <w:p>
      <w:pPr>
        <w:numPr>
          <w:ilvl w:val="0"/>
          <w:numId w:val="1002"/>
        </w:numPr>
        <w:pStyle w:val="Compact"/>
      </w:pPr>
      <w:r>
        <w:rPr>
          <w:bCs/>
          <w:b/>
        </w:rPr>
        <w:t xml:space="preserve">Qwen-Image-2.1</w:t>
      </w:r>
      <w:r>
        <w:t xml:space="preserve"> </w:t>
      </w:r>
      <w:r>
        <w:t xml:space="preserve">is an open-weight 7B unified generation/editing model with native RGBA output, up to 10 reference images, and precise local editing controls. vLLM-Omni added day-one support using a 7.1B DiT paired with Qwen3-VL-8B. [6, 7]</w:t>
      </w:r>
    </w:p>
    <w:p>
      <w:pPr>
        <w:numPr>
          <w:ilvl w:val="0"/>
          <w:numId w:val="1002"/>
        </w:numPr>
        <w:pStyle w:val="Compact"/>
      </w:pPr>
      <w:r>
        <w:rPr>
          <w:bCs/>
          <w:b/>
        </w:rPr>
        <w:t xml:space="preserve">DocJev</w:t>
      </w:r>
      <w:r>
        <w:t xml:space="preserve"> </w:t>
      </w:r>
      <w:r>
        <w:t xml:space="preserve">packages Jev for document classification and splitting from natural-language rules; its author claims 6× faster execution than GPT-5.6 Luna at equivalent accuracy, with open-source and OCR/VLM backend options. [8]</w:t>
      </w:r>
    </w:p>
    <w:p>
      <w:pPr>
        <w:numPr>
          <w:ilvl w:val="0"/>
          <w:numId w:val="1002"/>
        </w:numPr>
        <w:pStyle w:val="Compact"/>
      </w:pPr>
      <w:r>
        <w:rPr>
          <w:bCs/>
          <w:b/>
        </w:rPr>
        <w:t xml:space="preserve">Cline Desktop</w:t>
      </w:r>
      <w:r>
        <w:t xml:space="preserve"> </w:t>
      </w:r>
      <w:r>
        <w:t xml:space="preserve">reported running more than 6% of all Cline tasks one week after launch, with half of that activity from new users. The figure is self-reported, but it is an early adoption signal rather than only a feature announcement. [9]</w:t>
      </w:r>
    </w:p>
    <w:bookmarkEnd w:id="22"/>
    <w:bookmarkStart w:id="23" w:name="industry-moves"/>
    <w:p>
      <w:pPr>
        <w:pStyle w:val="Heading2"/>
      </w:pPr>
      <w:r>
        <w:t xml:space="preserve">Industry Moves</w:t>
      </w:r>
    </w:p>
    <w:p>
      <w:pPr>
        <w:pStyle w:val="FirstParagraph"/>
      </w:pPr>
      <w:r>
        <w:rPr>
          <w:iCs/>
          <w:i/>
        </w:rPr>
        <w:t xml:space="preserve">Why it matters: The frontier race is becoming a race to fund and serve high-volume agent workloads reliably.</w:t>
      </w:r>
    </w:p>
    <w:p>
      <w:pPr>
        <w:numPr>
          <w:ilvl w:val="0"/>
          <w:numId w:val="1003"/>
        </w:numPr>
        <w:pStyle w:val="Compact"/>
      </w:pPr>
      <w:r>
        <w:rPr>
          <w:bCs/>
          <w:b/>
        </w:rPr>
        <w:t xml:space="preserve">Xiaomi’s MiMo reinforcement-learning run</w:t>
      </w:r>
      <w:r>
        <w:t xml:space="preserve"> </w:t>
      </w:r>
      <w:r>
        <w:t xml:space="preserve">reportedly consumed $3.241 million over 4.5 days: Pro accounted for $2.387 million at about $20,600 per hour and a 70.92 DeepSWE score. The run used 23 harnesses and hit GPU OOM, VRAM, grader-network, and infrastructure failures—a live cost-and-reliability test, not a settled performance result. [10]</w:t>
      </w:r>
    </w:p>
    <w:p>
      <w:pPr>
        <w:numPr>
          <w:ilvl w:val="0"/>
          <w:numId w:val="1003"/>
        </w:numPr>
        <w:pStyle w:val="Compact"/>
      </w:pPr>
      <w:r>
        <w:rPr>
          <w:bCs/>
          <w:b/>
        </w:rPr>
        <w:t xml:space="preserve">China’s open-model business model is unsettled.</w:t>
      </w:r>
      <w:r>
        <w:t xml:space="preserve"> </w:t>
      </w:r>
      <w:r>
        <w:t xml:space="preserve">SemiAnalysis’ Dylan Patel says multiple Chinese labs told inference providers that upcoming models would be licensed rather than open-sourced; another commentator, citing conversations with Chinese labs, says they plan to keep open-sourcing and monetize through inference revenue share. [11, 12]</w:t>
      </w:r>
    </w:p>
    <w:bookmarkEnd w:id="23"/>
    <w:bookmarkStart w:id="24" w:name="policy-regulation"/>
    <w:p>
      <w:pPr>
        <w:pStyle w:val="Heading2"/>
      </w:pPr>
      <w:r>
        <w:t xml:space="preserve">Policy &amp; Regulation</w:t>
      </w:r>
    </w:p>
    <w:p>
      <w:pPr>
        <w:pStyle w:val="FirstParagraph"/>
      </w:pPr>
      <w:r>
        <w:rPr>
          <w:iCs/>
          <w:i/>
        </w:rPr>
        <w:t xml:space="preserve">Why it matters: Voluntary model rules are starting to specify prohibited capabilities before formal policy catches up.</w:t>
      </w:r>
    </w:p>
    <w:p>
      <w:pPr>
        <w:pStyle w:val="BodyText"/>
      </w:pPr>
      <w:r>
        <w:rPr>
          <w:bCs/>
          <w:b/>
        </w:rPr>
        <w:t xml:space="preserve">Microsoft’s new AI code of conduct</w:t>
      </w:r>
      <w:r>
        <w:t xml:space="preserve"> </w:t>
      </w:r>
      <w:r>
        <w:t xml:space="preserve">reportedly imposes absolute constraints against cyberattacks, nuclear weapons, and deepfakes, while barring deceptive or collusive mechanisms that evade human oversight. It is a company standard rather than government regulation, but its specificity gives the industry concrete boundaries to test against. [13]</w:t>
      </w:r>
    </w:p>
    <w:bookmarkEnd w:id="24"/>
    <w:bookmarkStart w:id="41" w:name="quick-takes"/>
    <w:p>
      <w:pPr>
        <w:pStyle w:val="Heading2"/>
      </w:pPr>
      <w:r>
        <w:t xml:space="preserve">Quick Takes</w:t>
      </w:r>
    </w:p>
    <w:p>
      <w:pPr>
        <w:pStyle w:val="FirstParagraph"/>
      </w:pPr>
      <w:r>
        <w:rPr>
          <w:iCs/>
          <w:i/>
        </w:rPr>
        <w:t xml:space="preserve">Why it matters: Research volume and architecture bets are accelerating faster than validation standards.</w:t>
      </w:r>
    </w:p>
    <w:p>
      <w:pPr>
        <w:numPr>
          <w:ilvl w:val="0"/>
          <w:numId w:val="1004"/>
        </w:numPr>
        <w:pStyle w:val="Compact"/>
      </w:pPr>
      <w:r>
        <w:rPr>
          <w:bCs/>
          <w:b/>
        </w:rPr>
        <w:t xml:space="preserve">ICLR 2027:</w:t>
      </w:r>
      <w:r>
        <w:t xml:space="preserve"> </w:t>
      </w:r>
      <w:r>
        <w:t xml:space="preserve">Denny Zhou reports more submissions than all previous ICLR years combined. [14]</w:t>
      </w:r>
    </w:p>
    <w:p>
      <w:pPr>
        <w:numPr>
          <w:ilvl w:val="0"/>
          <w:numId w:val="1004"/>
        </w:numPr>
        <w:pStyle w:val="Compact"/>
      </w:pPr>
      <w:r>
        <w:rPr>
          <w:bCs/>
          <w:b/>
        </w:rPr>
        <w:t xml:space="preserve">Diffusion LLMs:</w:t>
      </w:r>
      <w:r>
        <w:t xml:space="preserve"> </w:t>
      </w:r>
      <w:r>
        <w:t xml:space="preserve">Inception AI CEO Stefano Ermon pitches parallel token generation to remove today’s sequential bottleneck; the post supplies no performance benchmark. [15]</w:t>
      </w:r>
    </w:p>
    <w:p>
      <w:pPr>
        <w:numPr>
          <w:ilvl w:val="0"/>
          <w:numId w:val="1004"/>
        </w:numPr>
        <w:pStyle w:val="Compact"/>
      </w:pPr>
      <w:r>
        <w:rPr>
          <w:bCs/>
          <w:b/>
        </w:rPr>
        <w:t xml:space="preserve">Byte-level models:</w:t>
      </w:r>
      <w:r>
        <w:t xml:space="preserve"> </w:t>
      </w:r>
      <w:r>
        <w:t xml:space="preserve">Meta reports that token models lead at low compute but byte models overtake them as compute grows, reaching up to 4% higher asymptotic performance and matching a distilled token model with one-sixth the training data. [5]</w:t>
      </w:r>
    </w:p>
    <w:p>
      <w:r>
        <w:pict>
          <v:rect style="width:0;height:1.5pt" o:hralign="center" o:hrstd="t" o:hr="t"/>
        </w:pict>
      </w:r>
    </w:p>
    <w:bookmarkStart w:id="40" w:name="sources"/>
    <w:p>
      <w:pPr>
        <w:pStyle w:val="Heading3"/>
      </w:pPr>
      <w:r>
        <w:t xml:space="preserve">Sources</w:t>
      </w:r>
    </w:p>
    <w:p>
      <w:pPr>
        <w:numPr>
          <w:ilvl w:val="0"/>
          <w:numId w:val="1005"/>
        </w:numPr>
        <w:pStyle w:val="Compact"/>
      </w:pPr>
      <w:hyperlink r:id="rId25">
        <w:r>
          <w:rPr>
            <w:rStyle w:val="Hyperlink"/>
          </w:rPr>
          <w:t xml:space="preserve">𝕏 article by</w:t>
        </w:r>
        <w:r>
          <w:rPr>
            <w:rStyle w:val="Hyperlink"/>
          </w:rPr>
          <w:t xml:space="preserve"> </w:t>
        </w:r>
        <w:r>
          <w:rPr>
            <w:rStyle w:val="Hyperlink"/>
          </w:rPr>
          <w:t xml:space="preserve">@LangChain</w:t>
        </w:r>
      </w:hyperlink>
    </w:p>
    <w:p>
      <w:pPr>
        <w:numPr>
          <w:ilvl w:val="0"/>
          <w:numId w:val="1005"/>
        </w:numPr>
        <w:pStyle w:val="Compact"/>
      </w:pPr>
      <w:hyperlink r:id="rId26">
        <w:r>
          <w:rPr>
            <w:rStyle w:val="Hyperlink"/>
          </w:rPr>
          <w:t xml:space="preserve">𝕏 post by</w:t>
        </w:r>
        <w:r>
          <w:rPr>
            <w:rStyle w:val="Hyperlink"/>
          </w:rPr>
          <w:t xml:space="preserve"> </w:t>
        </w:r>
        <w:r>
          <w:rPr>
            <w:rStyle w:val="Hyperlink"/>
          </w:rPr>
          <w:t xml:space="preserve">@AhmedYsrrr</w:t>
        </w:r>
      </w:hyperlink>
    </w:p>
    <w:p>
      <w:pPr>
        <w:numPr>
          <w:ilvl w:val="0"/>
          <w:numId w:val="1005"/>
        </w:numPr>
        <w:pStyle w:val="Compact"/>
      </w:pPr>
      <w:hyperlink r:id="rId27">
        <w:r>
          <w:rPr>
            <w:rStyle w:val="Hyperlink"/>
          </w:rPr>
          <w:t xml:space="preserve">𝕏 post by</w:t>
        </w:r>
        <w:r>
          <w:rPr>
            <w:rStyle w:val="Hyperlink"/>
          </w:rPr>
          <w:t xml:space="preserve"> </w:t>
        </w:r>
        <w:r>
          <w:rPr>
            <w:rStyle w:val="Hyperlink"/>
          </w:rPr>
          <w:t xml:space="preserve">@alexandr_wang</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@EdwardSun0909</w:t>
        </w:r>
      </w:hyperlink>
    </w:p>
    <w:p>
      <w:pPr>
        <w:numPr>
          <w:ilvl w:val="0"/>
          <w:numId w:val="1005"/>
        </w:numPr>
        <w:pStyle w:val="Compact"/>
      </w:pPr>
      <w:hyperlink r:id="rId29">
        <w:r>
          <w:rPr>
            <w:rStyle w:val="Hyperlink"/>
          </w:rPr>
          <w:t xml:space="preserve">𝕏 article by</w:t>
        </w:r>
        <w:r>
          <w:rPr>
            <w:rStyle w:val="Hyperlink"/>
          </w:rPr>
          <w:t xml:space="preserve"> </w:t>
        </w:r>
        <w:r>
          <w:rPr>
            <w:rStyle w:val="Hyperlink"/>
          </w:rPr>
          <w:t xml:space="preserve">@dair_ai</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@Alibaba_Qwen</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@vllm_project</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@jerryjliu0</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@cline</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@NFT_Chen</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@sourceryy</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@Yuchenj_UW</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@dl_weekly</w:t>
        </w:r>
      </w:hyperlink>
    </w:p>
    <w:p>
      <w:pPr>
        <w:numPr>
          <w:ilvl w:val="0"/>
          <w:numId w:val="1005"/>
        </w:numPr>
        <w:pStyle w:val="Compact"/>
      </w:pPr>
      <w:hyperlink r:id="rId38">
        <w:r>
          <w:rPr>
            <w:rStyle w:val="Hyperlink"/>
          </w:rPr>
          <w:t xml:space="preserve">𝕏 post by</w:t>
        </w:r>
        <w:r>
          <w:rPr>
            <w:rStyle w:val="Hyperlink"/>
          </w:rPr>
          <w:t xml:space="preserve"> </w:t>
        </w:r>
        <w:r>
          <w:rPr>
            <w:rStyle w:val="Hyperlink"/>
          </w:rPr>
          <w:t xml:space="preserve">@denny_zhou</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@NoPriorsPod</w:t>
        </w:r>
      </w:hyperlink>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x.com/AhmedYsrrr/status/2101625161560559662" TargetMode="External" /><Relationship Type="http://schemas.openxmlformats.org/officeDocument/2006/relationships/hyperlink" Id="rId30" Target="https://x.com/Alibaba_Qwen/status/2101659302792679789" TargetMode="External" /><Relationship Type="http://schemas.openxmlformats.org/officeDocument/2006/relationships/hyperlink" Id="rId28" Target="https://x.com/EdwardSun0909/status/2101872416284885195" TargetMode="External" /><Relationship Type="http://schemas.openxmlformats.org/officeDocument/2006/relationships/hyperlink" Id="rId34" Target="https://x.com/NFT_Chen/status/2101572227380744469" TargetMode="External" /><Relationship Type="http://schemas.openxmlformats.org/officeDocument/2006/relationships/hyperlink" Id="rId39" Target="https://x.com/NoPriorsPod/status/2101677154950172761" TargetMode="External" /><Relationship Type="http://schemas.openxmlformats.org/officeDocument/2006/relationships/hyperlink" Id="rId36" Target="https://x.com/Yuchenj_UW/status/2101887244122628445" TargetMode="External" /><Relationship Type="http://schemas.openxmlformats.org/officeDocument/2006/relationships/hyperlink" Id="rId27" Target="https://x.com/alexandr_wang/status/2101914181696114821" TargetMode="External" /><Relationship Type="http://schemas.openxmlformats.org/officeDocument/2006/relationships/hyperlink" Id="rId33" Target="https://x.com/cline/status/2101754721677840702" TargetMode="External" /><Relationship Type="http://schemas.openxmlformats.org/officeDocument/2006/relationships/hyperlink" Id="rId38" Target="https://x.com/denny_zhou/status/2101474965405253708" TargetMode="External" /><Relationship Type="http://schemas.openxmlformats.org/officeDocument/2006/relationships/hyperlink" Id="rId37" Target="https://x.com/dl_weekly/status/2101700664397021482" TargetMode="External" /><Relationship Type="http://schemas.openxmlformats.org/officeDocument/2006/relationships/hyperlink" Id="rId25" Target="https://x.com/i/article/2101448785255907328" TargetMode="External" /><Relationship Type="http://schemas.openxmlformats.org/officeDocument/2006/relationships/hyperlink" Id="rId29" Target="https://x.com/i/article/2101726389456293888" TargetMode="External" /><Relationship Type="http://schemas.openxmlformats.org/officeDocument/2006/relationships/hyperlink" Id="rId32" Target="https://x.com/jerryjliu0/status/2101738281046294552" TargetMode="External" /><Relationship Type="http://schemas.openxmlformats.org/officeDocument/2006/relationships/hyperlink" Id="rId35" Target="https://x.com/sourceryy/status/2101818941446439087" TargetMode="External" /><Relationship Type="http://schemas.openxmlformats.org/officeDocument/2006/relationships/hyperlink" Id="rId31" Target="https://x.com/vllm_project/status/2101665920565629318" TargetMode="External" /></Relationships>
</file>

<file path=word/_rels/footnotes.xml.rels><?xml version="1.0" encoding="UTF-8"?><Relationships xmlns="http://schemas.openxmlformats.org/package/2006/relationships"><Relationship Type="http://schemas.openxmlformats.org/officeDocument/2006/relationships/hyperlink" Id="rId26" Target="https://x.com/AhmedYsrrr/status/2101625161560559662" TargetMode="External" /><Relationship Type="http://schemas.openxmlformats.org/officeDocument/2006/relationships/hyperlink" Id="rId30" Target="https://x.com/Alibaba_Qwen/status/2101659302792679789" TargetMode="External" /><Relationship Type="http://schemas.openxmlformats.org/officeDocument/2006/relationships/hyperlink" Id="rId28" Target="https://x.com/EdwardSun0909/status/2101872416284885195" TargetMode="External" /><Relationship Type="http://schemas.openxmlformats.org/officeDocument/2006/relationships/hyperlink" Id="rId34" Target="https://x.com/NFT_Chen/status/2101572227380744469" TargetMode="External" /><Relationship Type="http://schemas.openxmlformats.org/officeDocument/2006/relationships/hyperlink" Id="rId39" Target="https://x.com/NoPriorsPod/status/2101677154950172761" TargetMode="External" /><Relationship Type="http://schemas.openxmlformats.org/officeDocument/2006/relationships/hyperlink" Id="rId36" Target="https://x.com/Yuchenj_UW/status/2101887244122628445" TargetMode="External" /><Relationship Type="http://schemas.openxmlformats.org/officeDocument/2006/relationships/hyperlink" Id="rId27" Target="https://x.com/alexandr_wang/status/2101914181696114821" TargetMode="External" /><Relationship Type="http://schemas.openxmlformats.org/officeDocument/2006/relationships/hyperlink" Id="rId33" Target="https://x.com/cline/status/2101754721677840702" TargetMode="External" /><Relationship Type="http://schemas.openxmlformats.org/officeDocument/2006/relationships/hyperlink" Id="rId38" Target="https://x.com/denny_zhou/status/2101474965405253708" TargetMode="External" /><Relationship Type="http://schemas.openxmlformats.org/officeDocument/2006/relationships/hyperlink" Id="rId37" Target="https://x.com/dl_weekly/status/2101700664397021482" TargetMode="External" /><Relationship Type="http://schemas.openxmlformats.org/officeDocument/2006/relationships/hyperlink" Id="rId25" Target="https://x.com/i/article/2101448785255907328" TargetMode="External" /><Relationship Type="http://schemas.openxmlformats.org/officeDocument/2006/relationships/hyperlink" Id="rId29" Target="https://x.com/i/article/2101726389456293888" TargetMode="External" /><Relationship Type="http://schemas.openxmlformats.org/officeDocument/2006/relationships/hyperlink" Id="rId32" Target="https://x.com/jerryjliu0/status/2101738281046294552" TargetMode="External" /><Relationship Type="http://schemas.openxmlformats.org/officeDocument/2006/relationships/hyperlink" Id="rId35" Target="https://x.com/sourceryy/status/2101818941446439087" TargetMode="External" /><Relationship Type="http://schemas.openxmlformats.org/officeDocument/2006/relationships/hyperlink" Id="rId31" Target="https://x.com/vllm_project/status/210166592056562931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Jev’s Control Layer Meets Muse’s Consumer-Agent Push</dc:title>
  <dc:creator>AI High Signal Digest</dc:creator>
  <cp:keywords/>
  <dcterms:created xsi:type="dcterms:W3CDTF">2026-09-21T23:41:27Z</dcterms:created>
  <dcterms:modified xsi:type="dcterms:W3CDTF">2026-09-21T23:41:27Z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2026-09-21</vt:lpwstr>
  </property>
</Properties>
</file>