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Jev’s Judge Trial Makes Agent Evaluation a Harness Primitive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2026-09-20</w:t>
      </w:r>
    </w:p>
    <w:bookmarkStart w:id="43" w:name="X1bf5f5d10e238e92922708a491996b3bdfa3d58"/>
    <w:p>
      <w:pPr>
        <w:pStyle w:val="Heading1"/>
      </w:pPr>
      <w:r>
        <w:t xml:space="preserve">Jev’s Judge Trial Makes Agent Evaluation a Harness Primitive</w:t>
      </w:r>
    </w:p>
    <w:p>
      <w:pPr>
        <w:pStyle w:val="FirstParagraph"/>
      </w:pPr>
      <w:r>
        <w:rPr>
          <w:iCs/>
          <w:i/>
        </w:rPr>
        <w:t xml:space="preserve">By Coding Agents Alpha Tracker • September 20, 2026</w:t>
      </w:r>
    </w:p>
    <w:p>
      <w:pPr>
        <w:pStyle w:val="BodyText"/>
      </w:pPr>
      <w:r>
        <w:t xml:space="preserve">LangChain’s narrow but unusually concrete Jev evaluation makes typed judgment, repeatability, and cost first-class coding-agent harness concerns; the practical follow-through is event-driven routing, cross-model execution, and model-aware instructions.</w:t>
      </w:r>
    </w:p>
    <w:bookmarkStart w:id="20" w:name="top-signal"/>
    <w:p>
      <w:pPr>
        <w:pStyle w:val="Heading2"/>
      </w:pPr>
      <w:r>
        <w:t xml:space="preserve">🔥 TOP SIGNAL</w:t>
      </w:r>
    </w:p>
    <w:p>
      <w:pPr>
        <w:pStyle w:val="FirstParagraph"/>
      </w:pPr>
      <w:r>
        <w:rPr>
          <w:bCs/>
          <w:b/>
        </w:rPr>
        <w:t xml:space="preserve">Jev is becoming a credible control-plane component for agent evaluation, not just another model to compare.</w:t>
      </w:r>
      <w:r>
        <w:t xml:space="preserve"> </w:t>
      </w:r>
      <w:r>
        <w:t xml:space="preserve">LangChain’s Daniel Shea and Seán Roche captured five weather-agent runs, replayed the identical traces across judges, and used human labels as the oracle. Jev matched the oracle on all 500 repeated binary decisions; its observed score variance was 92–913× lower than the other judges, and it averaged 0.44 seconds and $0.00035 per call in the test. [1]</w:t>
      </w:r>
    </w:p>
    <w:p>
      <w:pPr>
        <w:pStyle w:val="BodyText"/>
      </w:pPr>
      <w:r>
        <w:t xml:space="preserve">Treat this as a strong harness signal, not a universal model verdict: the authors call the experiment early and narrow, and explicitly warn that a cheap evaluator can amplify systematic mistakes. Keep human review and judge-alignment checks in the loop. [1]</w:t>
      </w:r>
    </w:p>
    <w:bookmarkEnd w:id="20"/>
    <w:bookmarkStart w:id="21" w:name="try-this"/>
    <w:p>
      <w:pPr>
        <w:pStyle w:val="Heading2"/>
      </w:pPr>
      <w:r>
        <w:t xml:space="preserve">⚡ TRY THIS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Put a typed judge in every regression loop.</w:t>
      </w:r>
      <w:r>
        <w:t xml:space="preserve"> </w:t>
      </w:r>
      <w:r>
        <w:t xml:space="preserve">Capture fixed agent traces in LangSmith, replay the same traces across evaluator versions, and ask several atomic questions over the same state in one call. Use</w:t>
      </w:r>
      <w:r>
        <w:t xml:space="preserve"> </w:t>
      </w:r>
      <w:r>
        <w:rPr>
          <w:rStyle w:val="VerbatimChar"/>
        </w:rPr>
        <w:t xml:space="preserve">Choice</w:t>
      </w:r>
      <w:r>
        <w:t xml:space="preserve"> </w:t>
      </w:r>
      <w:r>
        <w:t xml:space="preserve">for bounded judgments such as</w:t>
      </w:r>
      <w:r>
        <w:t xml:space="preserve"> </w:t>
      </w:r>
      <w:r>
        <w:t xml:space="preserve">“</w:t>
      </w:r>
      <w:r>
        <w:t xml:space="preserve">is the answer grounded?</w:t>
      </w:r>
      <w:r>
        <w:t xml:space="preserve">”</w:t>
      </w:r>
      <w:r>
        <w:t xml:space="preserve">,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 </w:t>
      </w:r>
      <w:r>
        <w:t xml:space="preserve">for rubric-based usefulness, and</w:t>
      </w:r>
      <w:r>
        <w:t xml:space="preserve"> </w:t>
      </w:r>
      <w:r>
        <w:rPr>
          <w:rStyle w:val="VerbatimChar"/>
        </w:rPr>
        <w:t xml:space="preserve">Noul</w:t>
      </w:r>
      <w:r>
        <w:t xml:space="preserve"> </w:t>
      </w:r>
      <w:r>
        <w:t xml:space="preserve">for yes/no-style decisions; track both agreement with a human oracle and repeatability, not variance alone. [1]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Turn external events into typed work queues.</w:t>
      </w:r>
      <w:r>
        <w:t xml:space="preserve"> </w:t>
      </w:r>
      <w:r>
        <w:t xml:space="preserve">Kent C. Dodds is triggering bots from email, Sentry, feedback submissions, package errors, and Discord; webhooks are the entry point, and the bot can explain how to configure them. Run the payload through a single decision pass for actionability, urgency, escalation, or</w:t>
      </w:r>
      <w:r>
        <w:t xml:space="preserve"> </w:t>
      </w:r>
      <w:r>
        <w:t xml:space="preserve">“</w:t>
      </w:r>
      <w:r>
        <w:t xml:space="preserve">ready to ship,</w:t>
      </w:r>
      <w:r>
        <w:t xml:space="preserve">”</w:t>
      </w:r>
      <w:r>
        <w:t xml:space="preserve"> </w:t>
      </w:r>
      <w:r>
        <w:t xml:space="preserve">then invoke a documented utility rather than asking an agent to improvise the final operation. Kody’s model is explicitly a skill plus a tool, intended to produce more reliable, repeatable outcomes; its merge-PR utility is the concrete example. [2, 3, 4, 5]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Separate model switching from terminal-session management.</w:t>
      </w:r>
      <w:r>
        <w:t xml:space="preserve"> </w:t>
      </w:r>
      <w:r>
        <w:t xml:space="preserve">Geoffrey Huntley’s current hands-on recommendation is OpenCode as one harness for different model options and easy switching, paired with Herdr as an agent-aware alternative to tmux. That directly answers the recurring Codex-versus-Claude problem, but keep the build/test boundary explicit rather than assuming a cloud coordinator can run local work. [6, 7]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Test instruction files per model before standardizing them.</w:t>
      </w:r>
      <w:r>
        <w:t xml:space="preserve"> </w:t>
      </w:r>
      <w:r>
        <w:t xml:space="preserve">John Lindquist wants a benchmark for the influence of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on each model; Huntley argues the convention was meant to be model-specific and proposes an</w:t>
      </w:r>
      <w:r>
        <w:t xml:space="preserve"> </w:t>
      </w:r>
      <w:r>
        <w:rPr>
          <w:rStyle w:val="VerbatimChar"/>
        </w:rPr>
        <w:t xml:space="preserve">x-user-agent</w:t>
      </w:r>
      <w:r>
        <w:t xml:space="preserve"> </w:t>
      </w:r>
      <w:r>
        <w:t xml:space="preserve">signal so MCP servers can select model-specific system and tool prompts. Run the same coding task with a shared file versus model-specific variants, and log behavior, tool calls, and failures before declaring one instruction file universal. [8, 9, 10]</w:t>
      </w:r>
    </w:p>
    <w:bookmarkEnd w:id="21"/>
    <w:bookmarkStart w:id="22" w:name="what-shipped"/>
    <w:p>
      <w:pPr>
        <w:pStyle w:val="Heading2"/>
      </w:pPr>
      <w:r>
        <w:t xml:space="preserve">📡 WHAT SHIPPED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Pi 0.86.0:</w:t>
      </w:r>
      <w:r>
        <w:t xml:space="preserve"> </w:t>
      </w:r>
      <w:r>
        <w:t xml:space="preserve">adds mid-conversation system messages, dynamic tools on supported models without losing the KV cache, Anthropic cache warming, faster</w:t>
      </w:r>
      <w:r>
        <w:t xml:space="preserve"> </w:t>
      </w:r>
      <w:r>
        <w:rPr>
          <w:rStyle w:val="VerbatimChar"/>
        </w:rPr>
        <w:t xml:space="preserve">-r</w:t>
      </w:r>
      <w:r>
        <w:t xml:space="preserve">/</w:t>
      </w:r>
      <w:r>
        <w:rPr>
          <w:rStyle w:val="VerbatimChar"/>
        </w:rPr>
        <w:t xml:space="preserve">-c</w:t>
      </w:r>
      <w:r>
        <w:t xml:space="preserve"> </w:t>
      </w:r>
      <w:r>
        <w:t xml:space="preserve">resume, fixes, and a</w:t>
      </w:r>
      <w:r>
        <w:t xml:space="preserve"> </w:t>
      </w:r>
      <w:r>
        <w:rPr>
          <w:rStyle w:val="VerbatimChar"/>
        </w:rPr>
        <w:t xml:space="preserve">/bug</w:t>
      </w:r>
      <w:r>
        <w:t xml:space="preserve"> </w:t>
      </w:r>
      <w:r>
        <w:t xml:space="preserve">command. Armin Ronacher warns that the system-message change may regress behavior because relatively few users run it 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; treat this as a canary upgrade, not a frictionless one. [11, 12]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Claude Projects’ boundary is now clearer in practice.</w:t>
      </w:r>
      <w:r>
        <w:t xml:space="preserve"> </w:t>
      </w:r>
      <w:r>
        <w:t xml:space="preserve">Riley Brown likes bundling sessions into projects with project-specific routines, but reports that the orchestrator cannot start a local Claude Code thread: every session runs in the cloud. That is convenient on iOS and awkward for app building, so use Projects for coordination only if the execution boundary fits your workflow. [13]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Bespoke Nimble is an open decision-model project worth watching.</w:t>
      </w:r>
      <w:r>
        <w:t xml:space="preserve"> </w:t>
      </w:r>
      <w:r>
        <w:t xml:space="preserve">The release includes open data, code, and a 9B model, with a LoRA fine-tune of Qwen3.5-9B, synthetic contrastive data, and Jev used for evaluation rather than distillation. The author reports 66% for base Qwen versus 90% for Nimble on a curated eval and 100 ms on an H100, but also says there is no standard benchmark and Nimble may perform much worse elsewhere. A current follow-up says it counted bedrooms and bathrooms in a confusing floor-plan image where base Qwen struggled; Jev was not tested because it lacks multimodal support. [14, 15]</w:t>
      </w:r>
    </w:p>
    <w:bookmarkEnd w:id="22"/>
    <w:bookmarkStart w:id="42" w:name="go-deeper"/>
    <w:p>
      <w:pPr>
        <w:pStyle w:val="Heading2"/>
      </w:pPr>
      <w:r>
        <w:t xml:space="preserve">🎬 GO DEEPER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Repo —</w:t>
      </w:r>
      <w:r>
        <w:rPr>
          <w:bCs/>
          <w:b/>
        </w:rPr>
        <w:t xml:space="preserve"> </w:t>
      </w:r>
      <w:hyperlink r:id="rId23">
        <w:r>
          <w:rPr>
            <w:rStyle w:val="VerbatimChar"/>
            <w:bCs/>
            <w:b/>
          </w:rPr>
          <w:t xml:space="preserve">jev-as-a-judge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Study the fixed-trace replay, human-oracle, repeatability, and cost methodology rather than copying the headline number. The article lists the package versions used for reproduction. [1]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Repo —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Bespoke Nimble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Read the contrastive-data recipe, then look for the missing ablation and out-of-domain benchmark before treating the reported lift as general. [14]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Video —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Geoffrey Huntley’s AGENTS.md discussion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Pair it with his follow-up proposal for model identity in MCP; the useful question is whether instructions and tool prompts should vary with the active model. [9, 10]</w:t>
      </w:r>
    </w:p>
    <w:p>
      <w:pPr>
        <w:pStyle w:val="FirstParagraph"/>
      </w:pPr>
      <w:r>
        <w:rPr>
          <w:bCs/>
          <w:b/>
        </w:rPr>
        <w:t xml:space="preserve">Editorial take:</w:t>
      </w:r>
      <w:r>
        <w:t xml:space="preserve"> </w:t>
      </w:r>
      <w:r>
        <w:t xml:space="preserve">The practical frontier is a separated control plane—typed decisions, event triggers, model switching, and repeatable evals—wrapped around a coding agent whose local or cloud execution boundary is explicit. [1, 6, 13]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2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4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@mattyp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@DanielSmidstrup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@johnlindquist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@pidotdev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@madiator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@madiator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github.com/bespokelabsai/nimble" TargetMode="External" /><Relationship Type="http://schemas.openxmlformats.org/officeDocument/2006/relationships/hyperlink" Id="rId23" Target="https://github.com/danielgshea/jev-as-a-judge" TargetMode="External" /><Relationship Type="http://schemas.openxmlformats.org/officeDocument/2006/relationships/hyperlink" Id="rId32" Target="https://x.com/DanielSmidstrup/status/2101348710181482973" TargetMode="External" /><Relationship Type="http://schemas.openxmlformats.org/officeDocument/2006/relationships/hyperlink" Id="rId34" Target="https://x.com/GeoffreyHuntley/status/2101472511599026277" TargetMode="External" /><Relationship Type="http://schemas.openxmlformats.org/officeDocument/2006/relationships/hyperlink" Id="rId35" Target="https://x.com/GeoffreyHuntley/status/2101472819905536457" TargetMode="External" /><Relationship Type="http://schemas.openxmlformats.org/officeDocument/2006/relationships/hyperlink" Id="rId31" Target="https://x.com/GeoffreyHuntley/status/2101524492975796548" TargetMode="External" /><Relationship Type="http://schemas.openxmlformats.org/officeDocument/2006/relationships/hyperlink" Id="rId26" Target="https://x.com/i/article/2101448785255907328" TargetMode="External" /><Relationship Type="http://schemas.openxmlformats.org/officeDocument/2006/relationships/hyperlink" Id="rId33" Target="https://x.com/johnlindquist/status/2101387505312653641" TargetMode="External" /><Relationship Type="http://schemas.openxmlformats.org/officeDocument/2006/relationships/hyperlink" Id="rId29" Target="https://x.com/kentcdodds/status/2101158890972868789" TargetMode="External" /><Relationship Type="http://schemas.openxmlformats.org/officeDocument/2006/relationships/hyperlink" Id="rId27" Target="https://x.com/kentcdodds/status/2101229030007615609" TargetMode="External" /><Relationship Type="http://schemas.openxmlformats.org/officeDocument/2006/relationships/hyperlink" Id="rId30" Target="https://x.com/kentcdodds/status/2101341166545543318" TargetMode="External" /><Relationship Type="http://schemas.openxmlformats.org/officeDocument/2006/relationships/hyperlink" Id="rId39" Target="https://x.com/madiator/status/2100990591215783946" TargetMode="External" /><Relationship Type="http://schemas.openxmlformats.org/officeDocument/2006/relationships/hyperlink" Id="rId40" Target="https://x.com/madiator/status/2101368806212030733" TargetMode="External" /><Relationship Type="http://schemas.openxmlformats.org/officeDocument/2006/relationships/hyperlink" Id="rId28" Target="https://x.com/mattyp/status/2101130160993092094" TargetMode="External" /><Relationship Type="http://schemas.openxmlformats.org/officeDocument/2006/relationships/hyperlink" Id="rId37" Target="https://x.com/mitsuhiko/status/2101452864618926406" TargetMode="External" /><Relationship Type="http://schemas.openxmlformats.org/officeDocument/2006/relationships/hyperlink" Id="rId36" Target="https://x.com/pidotdev/status/2101452506203066631" TargetMode="External" /><Relationship Type="http://schemas.openxmlformats.org/officeDocument/2006/relationships/hyperlink" Id="rId38" Target="https://x.com/rileybrown/status/2101453842319618291" TargetMode="External" /><Relationship Type="http://schemas.openxmlformats.org/officeDocument/2006/relationships/hyperlink" Id="rId25" Target="https://youtu.be/8gotGDhQKeQ?si=k7A8r7WI0T-Ck5V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github.com/bespokelabsai/nimble" TargetMode="External" /><Relationship Type="http://schemas.openxmlformats.org/officeDocument/2006/relationships/hyperlink" Id="rId23" Target="https://github.com/danielgshea/jev-as-a-judge" TargetMode="External" /><Relationship Type="http://schemas.openxmlformats.org/officeDocument/2006/relationships/hyperlink" Id="rId32" Target="https://x.com/DanielSmidstrup/status/2101348710181482973" TargetMode="External" /><Relationship Type="http://schemas.openxmlformats.org/officeDocument/2006/relationships/hyperlink" Id="rId34" Target="https://x.com/GeoffreyHuntley/status/2101472511599026277" TargetMode="External" /><Relationship Type="http://schemas.openxmlformats.org/officeDocument/2006/relationships/hyperlink" Id="rId35" Target="https://x.com/GeoffreyHuntley/status/2101472819905536457" TargetMode="External" /><Relationship Type="http://schemas.openxmlformats.org/officeDocument/2006/relationships/hyperlink" Id="rId31" Target="https://x.com/GeoffreyHuntley/status/2101524492975796548" TargetMode="External" /><Relationship Type="http://schemas.openxmlformats.org/officeDocument/2006/relationships/hyperlink" Id="rId26" Target="https://x.com/i/article/2101448785255907328" TargetMode="External" /><Relationship Type="http://schemas.openxmlformats.org/officeDocument/2006/relationships/hyperlink" Id="rId33" Target="https://x.com/johnlindquist/status/2101387505312653641" TargetMode="External" /><Relationship Type="http://schemas.openxmlformats.org/officeDocument/2006/relationships/hyperlink" Id="rId29" Target="https://x.com/kentcdodds/status/2101158890972868789" TargetMode="External" /><Relationship Type="http://schemas.openxmlformats.org/officeDocument/2006/relationships/hyperlink" Id="rId27" Target="https://x.com/kentcdodds/status/2101229030007615609" TargetMode="External" /><Relationship Type="http://schemas.openxmlformats.org/officeDocument/2006/relationships/hyperlink" Id="rId30" Target="https://x.com/kentcdodds/status/2101341166545543318" TargetMode="External" /><Relationship Type="http://schemas.openxmlformats.org/officeDocument/2006/relationships/hyperlink" Id="rId39" Target="https://x.com/madiator/status/2100990591215783946" TargetMode="External" /><Relationship Type="http://schemas.openxmlformats.org/officeDocument/2006/relationships/hyperlink" Id="rId40" Target="https://x.com/madiator/status/2101368806212030733" TargetMode="External" /><Relationship Type="http://schemas.openxmlformats.org/officeDocument/2006/relationships/hyperlink" Id="rId28" Target="https://x.com/mattyp/status/2101130160993092094" TargetMode="External" /><Relationship Type="http://schemas.openxmlformats.org/officeDocument/2006/relationships/hyperlink" Id="rId37" Target="https://x.com/mitsuhiko/status/2101452864618926406" TargetMode="External" /><Relationship Type="http://schemas.openxmlformats.org/officeDocument/2006/relationships/hyperlink" Id="rId36" Target="https://x.com/pidotdev/status/2101452506203066631" TargetMode="External" /><Relationship Type="http://schemas.openxmlformats.org/officeDocument/2006/relationships/hyperlink" Id="rId38" Target="https://x.com/rileybrown/status/2101453842319618291" TargetMode="External" /><Relationship Type="http://schemas.openxmlformats.org/officeDocument/2006/relationships/hyperlink" Id="rId25" Target="https://youtu.be/8gotGDhQKeQ?si=k7A8r7WI0T-Ck5V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Jev’s Judge Trial Makes Agent Evaluation a Harness Primitive</dc:title>
  <dc:creator>Coding Agents Alpha Tracker</dc:creator>
  <cp:keywords/>
  <dcterms:created xsi:type="dcterms:W3CDTF">2026-09-20T10:09:57Z</dcterms:created>
  <dcterms:modified xsi:type="dcterms:W3CDTF">2026-09-20T10:09:57Z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2026-09-20</vt:lpwstr>
  </property>
</Properties>
</file>