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Karoo Retail, Oruro Expansion, and L402 Broaden Bitcoin Payment Signals</w:t>
      </w:r>
    </w:p>
    <w:p>
      <w:pPr>
        <w:pStyle w:val="Author"/>
      </w:pPr>
      <w:r>
        <w:t xml:space="preserve">Bitcoin Payment Adoption Tracker</w:t>
      </w:r>
    </w:p>
    <w:p>
      <w:pPr>
        <w:pStyle w:val="Date"/>
      </w:pPr>
      <w:r>
        <w:t xml:space="preserve">2026-03-30</w:t>
      </w:r>
    </w:p>
    <w:bookmarkStart w:id="55" w:name="Xf731cef5b4a8d6e930aaf4c4a3eeed5f46564df"/>
    <w:p>
      <w:pPr>
        <w:pStyle w:val="Heading1"/>
      </w:pPr>
      <w:r>
        <w:t xml:space="preserve">Karoo Retail, Oruro Expansion, and L402 Broaden Bitcoin Payment Signals</w:t>
      </w:r>
    </w:p>
    <w:p>
      <w:pPr>
        <w:pStyle w:val="FirstParagraph"/>
      </w:pPr>
      <w:r>
        <w:rPr>
          <w:iCs/>
          <w:i/>
        </w:rPr>
        <w:t xml:space="preserve">By Bitcoin Payment Adoption Tracker • March 30, 2026</w:t>
      </w:r>
    </w:p>
    <w:p>
      <w:pPr>
        <w:pStyle w:val="BodyText"/>
      </w:pPr>
      <w:r>
        <w:t xml:space="preserve">This brief covers grassroots Bitcoin payment growth in South Africa, Bolivia, Zambia, and Nigeria, alongside Lightning Enable’s push to extend Lightning into API and agent commerce through L402. Bolivia provides the clearest metric with 100 accepting locations, while no new regulatory changes appear in the current notes.</w:t>
      </w:r>
    </w:p>
    <w:bookmarkStart w:id="23" w:name="major-adoption-news"/>
    <w:p>
      <w:pPr>
        <w:pStyle w:val="Heading2"/>
      </w:pPr>
      <w:r>
        <w:t xml:space="preserve">Major Adoption News</w:t>
      </w:r>
    </w:p>
    <w:bookmarkStart w:id="20" w:name="X93291efc02781fade5dc09c590550f21a974edc"/>
    <w:p>
      <w:pPr>
        <w:pStyle w:val="Heading3"/>
      </w:pPr>
      <w:r>
        <w:t xml:space="preserve">South Africa — Karoo merchants add everyday and travel-linked payment options</w:t>
      </w:r>
    </w:p>
    <w:p>
      <w:pPr>
        <w:pStyle w:val="FirstParagraph"/>
      </w:pPr>
      <w:r>
        <w:t xml:space="preserve">Ray’s Coffee, described as a stop for travelers coming through Meiringspoort Pass, accepts bitcoin and publishes</w:t>
      </w:r>
      <w:r>
        <w:t xml:space="preserve"> </w:t>
      </w:r>
      <w:r>
        <w:rPr>
          <w:rStyle w:val="VerbatimChar"/>
        </w:rPr>
        <w:t xml:space="preserve">Rays@blink.sv</w:t>
      </w:r>
      <w:r>
        <w:t xml:space="preserve"> </w:t>
      </w:r>
      <w:r>
        <w:t xml:space="preserve">with a BTC Map listing [1]. Deli Nouvelle Saison, a village deli in the Karoo, is also accepting bitcoin and lists</w:t>
      </w:r>
      <w:r>
        <w:t xml:space="preserve"> </w:t>
      </w:r>
      <w:r>
        <w:rPr>
          <w:rStyle w:val="VerbatimChar"/>
        </w:rPr>
        <w:t xml:space="preserve">Nouvellesaison@blink.sv</w:t>
      </w:r>
      <w:r>
        <w:t xml:space="preserve"> </w:t>
      </w:r>
      <w:r>
        <w:t xml:space="preserve">on BTC Map [2].</w:t>
      </w:r>
    </w:p>
    <w:p>
      <w:pPr>
        <w:pStyle w:val="BodyText"/>
      </w:pPr>
      <w:r>
        <w:rPr>
          <w:bCs/>
          <w:b/>
        </w:rPr>
        <w:t xml:space="preserve">Business impact:</w:t>
      </w:r>
      <w:r>
        <w:t xml:space="preserve"> </w:t>
      </w:r>
      <w:r>
        <w:t xml:space="preserve">The cited use cases are ordinary consumer purchases in a village setting and on a travel corridor, which are strong tests of routine payment usability.</w:t>
      </w:r>
    </w:p>
    <w:bookmarkEnd w:id="20"/>
    <w:bookmarkStart w:id="21" w:name="X2a078f57eca027be5f04dca10f5ee35508c1bb8"/>
    <w:p>
      <w:pPr>
        <w:pStyle w:val="Heading3"/>
      </w:pPr>
      <w:r>
        <w:t xml:space="preserve">Bolivia — Oruro adds its first bitcoin-accepting business</w:t>
      </w:r>
    </w:p>
    <w:p>
      <w:pPr>
        <w:pStyle w:val="FirstParagraph"/>
      </w:pPr>
      <w:r>
        <w:t xml:space="preserve">Posts from Bolivia celebrate the country’s</w:t>
      </w:r>
      <w:r>
        <w:t xml:space="preserve"> </w:t>
      </w:r>
      <w:r>
        <w:rPr>
          <w:bCs/>
          <w:b/>
        </w:rPr>
        <w:t xml:space="preserve">100th</w:t>
      </w:r>
      <w:r>
        <w:t xml:space="preserve"> </w:t>
      </w:r>
      <w:r>
        <w:t xml:space="preserve">place accepting bitcoin and say the influence of</w:t>
      </w:r>
      <w:r>
        <w:t xml:space="preserve"> </w:t>
      </w:r>
      <w:r>
        <w:rPr>
          <w:rStyle w:val="VerbatimChar"/>
        </w:rPr>
        <w:t xml:space="preserve">@kerikitokafe</w:t>
      </w:r>
      <w:r>
        <w:t xml:space="preserve"> </w:t>
      </w:r>
      <w:r>
        <w:t xml:space="preserve">was crucial: an entrepreneur visited Kioskafe, left with a bitcoin wallet, and opened the first bitcoin-accepting business in Oruro [3].</w:t>
      </w:r>
    </w:p>
    <w:p>
      <w:pPr>
        <w:pStyle w:val="BodyText"/>
      </w:pPr>
      <w:r>
        <w:rPr>
          <w:bCs/>
          <w:b/>
        </w:rPr>
        <w:t xml:space="preserve">Business impact:</w:t>
      </w:r>
      <w:r>
        <w:t xml:space="preserve"> </w:t>
      </w:r>
      <w:r>
        <w:t xml:space="preserve">The new detail is geographic spread into a new city, not just a higher national merchant count.</w:t>
      </w:r>
    </w:p>
    <w:bookmarkEnd w:id="21"/>
    <w:bookmarkStart w:id="22" w:name="X0610e06c1579c2dae127e42916c291d26dce460"/>
    <w:p>
      <w:pPr>
        <w:pStyle w:val="Heading3"/>
      </w:pPr>
      <w:r>
        <w:t xml:space="preserve">South Africa — BitcoinFriendlySA seeks more sats-priced inventory</w:t>
      </w:r>
    </w:p>
    <w:p>
      <w:pPr>
        <w:pStyle w:val="FirstParagraph"/>
      </w:pPr>
      <w:r>
        <w:t xml:space="preserve">BitcoinFriendlySA says it is looking to connect with South African small businesses that sell products for sats and explore listing those products on its shop [4].</w:t>
      </w:r>
    </w:p>
    <w:p>
      <w:pPr>
        <w:pStyle w:val="BodyText"/>
      </w:pPr>
      <w:r>
        <w:rPr>
          <w:bCs/>
          <w:b/>
        </w:rPr>
        <w:t xml:space="preserve">Business impact:</w:t>
      </w:r>
      <w:r>
        <w:t xml:space="preserve"> </w:t>
      </w:r>
      <w:r>
        <w:t xml:space="preserve">This points to a shared retail channel for merchants already pricing goods in sats, not just another single-merchant checkout announcement.</w:t>
      </w:r>
    </w:p>
    <w:bookmarkEnd w:id="22"/>
    <w:bookmarkEnd w:id="23"/>
    <w:bookmarkStart w:id="26" w:name="payment-infrastructure"/>
    <w:p>
      <w:pPr>
        <w:pStyle w:val="Heading2"/>
      </w:pPr>
      <w:r>
        <w:t xml:space="preserve">Payment Infrastructure</w:t>
      </w:r>
    </w:p>
    <w:bookmarkStart w:id="24" w:name="X78217ecc72b82f99b5a10310ac1e9797986acba"/>
    <w:p>
      <w:pPr>
        <w:pStyle w:val="Heading3"/>
      </w:pPr>
      <w:r>
        <w:t xml:space="preserve">Global — Lightning Enable links bank rails, bitcoin, and API commerce</w:t>
      </w:r>
    </w:p>
    <w:p>
      <w:pPr>
        <w:pStyle w:val="FirstParagraph"/>
      </w:pPr>
      <w:r>
        <w:t xml:space="preserve">Lightning Enable says it provides Lightning payment infrastructure for online ordering, APIs, and programmatic commerce, and that it uses Strike and OpenNode for a bank → bitcoin → API → USD flow [5]. It also says both providers are now API-driven with similar integration lift [5].</w:t>
      </w:r>
    </w:p>
    <w:p>
      <w:pPr>
        <w:pStyle w:val="BodyText"/>
      </w:pPr>
      <w:r>
        <w:rPr>
          <w:bCs/>
          <w:b/>
        </w:rPr>
        <w:t xml:space="preserve">Significance:</w:t>
      </w:r>
      <w:r>
        <w:t xml:space="preserve"> </w:t>
      </w:r>
      <w:r>
        <w:t xml:space="preserve">The cited model pushes Bitcoin payments beyond wallet-to-wallet use and into backend commerce flows.</w:t>
      </w:r>
    </w:p>
    <w:bookmarkEnd w:id="24"/>
    <w:bookmarkStart w:id="25" w:name="Xdbde2bb8cf9a18af1f40072e30adf9bf86a0e5e"/>
    <w:p>
      <w:pPr>
        <w:pStyle w:val="Heading3"/>
      </w:pPr>
      <w:r>
        <w:t xml:space="preserve">Global — L402 is being positioned as native pay-per-request infrastructure</w:t>
      </w:r>
    </w:p>
    <w:p>
      <w:pPr>
        <w:pStyle w:val="FirstParagraph"/>
      </w:pPr>
      <w:r>
        <w:t xml:space="preserve">Lightning Enable says both L402 and x402 use HTTP 402, but argues L402 differs because settlement is native, final, and does not depend on an issuer or intermediary [6, 7, 8]. It says L402 optimizes for cost, latency, and permissionless access, and fits agents that need to pay immediately and get results without permissions [9, 10]. The same thread describes a model with no accounts, no keys, and no billing systems, enabling per-request markets and real-time pricing [11, 12, 13].</w:t>
      </w:r>
    </w:p>
    <w:p>
      <w:pPr>
        <w:pStyle w:val="BlockText"/>
      </w:pPr>
      <w:r>
        <w:t xml:space="preserve">“</w:t>
      </w:r>
      <w:r>
        <w:t xml:space="preserve">Pay → access. No accounts.</w:t>
      </w:r>
      <w:r>
        <w:t xml:space="preserve">”</w:t>
      </w:r>
      <w:r>
        <w:t xml:space="preserve"> </w:t>
      </w:r>
      <w:r>
        <w:t xml:space="preserve">[6]</w:t>
      </w:r>
    </w:p>
    <w:p>
      <w:pPr>
        <w:pStyle w:val="FirstParagraph"/>
      </w:pPr>
      <w:r>
        <w:rPr>
          <w:bCs/>
          <w:b/>
        </w:rPr>
        <w:t xml:space="preserve">Significance:</w:t>
      </w:r>
      <w:r>
        <w:t xml:space="preserve"> </w:t>
      </w:r>
      <w:r>
        <w:t xml:space="preserve">In the current notes, this is the clearest technical attempt to move Bitcoin payments from merchant checkout into paid APIs and agent-to-agent commerce.</w:t>
      </w:r>
    </w:p>
    <w:bookmarkEnd w:id="25"/>
    <w:bookmarkEnd w:id="26"/>
    <w:bookmarkStart w:id="30" w:name="regulatory-landscape"/>
    <w:p>
      <w:pPr>
        <w:pStyle w:val="Heading2"/>
      </w:pPr>
      <w:r>
        <w:t xml:space="preserve">Regulatory Landscape</w:t>
      </w:r>
    </w:p>
    <w:bookmarkStart w:id="27" w:name="africa"/>
    <w:p>
      <w:pPr>
        <w:pStyle w:val="Heading3"/>
      </w:pPr>
      <w:r>
        <w:t xml:space="preserve">Africa</w:t>
      </w:r>
    </w:p>
    <w:p>
      <w:pPr>
        <w:pStyle w:val="FirstParagraph"/>
      </w:pPr>
      <w:r>
        <w:t xml:space="preserve">No payment-specific legal or regulatory changes were cited in the current African notes.</w:t>
      </w:r>
    </w:p>
    <w:bookmarkEnd w:id="27"/>
    <w:bookmarkStart w:id="28" w:name="latin-america"/>
    <w:p>
      <w:pPr>
        <w:pStyle w:val="Heading3"/>
      </w:pPr>
      <w:r>
        <w:t xml:space="preserve">Latin America</w:t>
      </w:r>
    </w:p>
    <w:p>
      <w:pPr>
        <w:pStyle w:val="FirstParagraph"/>
      </w:pPr>
      <w:r>
        <w:t xml:space="preserve">No payment-specific legal or regulatory changes were cited in the current Latin American notes.</w:t>
      </w:r>
    </w:p>
    <w:bookmarkEnd w:id="28"/>
    <w:bookmarkStart w:id="29" w:name="global"/>
    <w:p>
      <w:pPr>
        <w:pStyle w:val="Heading3"/>
      </w:pPr>
      <w:r>
        <w:t xml:space="preserve">Global</w:t>
      </w:r>
    </w:p>
    <w:p>
      <w:pPr>
        <w:pStyle w:val="FirstParagraph"/>
      </w:pPr>
      <w:r>
        <w:t xml:space="preserve">The global discussion in this batch is technical and commercial rather than regulatory.</w:t>
      </w:r>
    </w:p>
    <w:bookmarkEnd w:id="29"/>
    <w:bookmarkEnd w:id="30"/>
    <w:bookmarkStart w:id="32" w:name="usage-metrics"/>
    <w:p>
      <w:pPr>
        <w:pStyle w:val="Heading2"/>
      </w:pPr>
      <w:r>
        <w:t xml:space="preserve">Usage Metrics</w:t>
      </w:r>
    </w:p>
    <w:p>
      <w:pPr>
        <w:pStyle w:val="FirstParagraph"/>
      </w:pPr>
      <w:r>
        <w:t xml:space="preserve">Hard transaction-volume data were not provided in the current notes. The clearest quantified adoption figure is Bolivia’s celebration of its</w:t>
      </w:r>
      <w:r>
        <w:t xml:space="preserve"> </w:t>
      </w:r>
      <w:r>
        <w:rPr>
          <w:bCs/>
          <w:b/>
        </w:rPr>
        <w:t xml:space="preserve">100th</w:t>
      </w:r>
      <w:r>
        <w:t xml:space="preserve"> </w:t>
      </w:r>
      <w:r>
        <w:t xml:space="preserve">place accepting bitcoin [3].</w:t>
      </w:r>
    </w:p>
    <w:bookmarkStart w:id="31" w:name="geographic-breakdown"/>
    <w:p>
      <w:pPr>
        <w:pStyle w:val="Heading3"/>
      </w:pPr>
      <w:r>
        <w:t xml:space="preserve">Geographic breakdown</w:t>
      </w:r>
    </w:p>
    <w:p>
      <w:pPr>
        <w:numPr>
          <w:ilvl w:val="0"/>
          <w:numId w:val="1001"/>
        </w:numPr>
        <w:pStyle w:val="Compact"/>
      </w:pPr>
      <w:r>
        <w:rPr>
          <w:bCs/>
          <w:b/>
        </w:rPr>
        <w:t xml:space="preserve">Bolivia:</w:t>
      </w:r>
      <w:r>
        <w:t xml:space="preserve"> </w:t>
      </w:r>
      <w:r>
        <w:t xml:space="preserve">The 100-location milestone is paired with a claim that Oruro now has its first bitcoin-accepting business [3].</w:t>
      </w:r>
    </w:p>
    <w:p>
      <w:pPr>
        <w:numPr>
          <w:ilvl w:val="0"/>
          <w:numId w:val="1001"/>
        </w:numPr>
        <w:pStyle w:val="Compact"/>
      </w:pPr>
      <w:r>
        <w:rPr>
          <w:bCs/>
          <w:b/>
        </w:rPr>
        <w:t xml:space="preserve">South Africa:</w:t>
      </w:r>
      <w:r>
        <w:t xml:space="preserve"> </w:t>
      </w:r>
      <w:r>
        <w:t xml:space="preserve">Qualitative signals come from Ray’s Coffee, Deli Nouvelle Saison, and the BitcoinFriendlySA listing effort [1, 2, 4].</w:t>
      </w:r>
    </w:p>
    <w:p>
      <w:pPr>
        <w:numPr>
          <w:ilvl w:val="0"/>
          <w:numId w:val="1001"/>
        </w:numPr>
        <w:pStyle w:val="Compact"/>
      </w:pPr>
      <w:r>
        <w:rPr>
          <w:bCs/>
          <w:b/>
        </w:rPr>
        <w:t xml:space="preserve">Zambia:</w:t>
      </w:r>
      <w:r>
        <w:t xml:space="preserve"> </w:t>
      </w:r>
      <w:r>
        <w:t xml:space="preserve">A named merchant signal comes from Watson Fruits in Livingstone accepting Bitcoin Lightning [14].</w:t>
      </w:r>
    </w:p>
    <w:p>
      <w:pPr>
        <w:numPr>
          <w:ilvl w:val="0"/>
          <w:numId w:val="1001"/>
        </w:numPr>
        <w:pStyle w:val="Compact"/>
      </w:pPr>
      <w:r>
        <w:rPr>
          <w:bCs/>
          <w:b/>
        </w:rPr>
        <w:t xml:space="preserve">Nigeria:</w:t>
      </w:r>
      <w:r>
        <w:t xml:space="preserve"> </w:t>
      </w:r>
      <w:r>
        <w:t xml:space="preserve">A named merchant signal comes from the Ekiti circular-economy post and linked BTC Map merchant listing [15].</w:t>
      </w:r>
    </w:p>
    <w:bookmarkEnd w:id="31"/>
    <w:bookmarkEnd w:id="32"/>
    <w:bookmarkStart w:id="36" w:name="emerging-markets"/>
    <w:p>
      <w:pPr>
        <w:pStyle w:val="Heading2"/>
      </w:pPr>
      <w:r>
        <w:t xml:space="preserve">Emerging Markets</w:t>
      </w:r>
    </w:p>
    <w:bookmarkStart w:id="33" w:name="Xc17dd9d9afc82e19e41ced05b5a290932eb76df"/>
    <w:p>
      <w:pPr>
        <w:pStyle w:val="Heading3"/>
      </w:pPr>
      <w:r>
        <w:t xml:space="preserve">Bolivia / Dominican Republic — cross-border sats accompany merchant activity</w:t>
      </w:r>
    </w:p>
    <w:p>
      <w:pPr>
        <w:pStyle w:val="FirstParagraph"/>
      </w:pPr>
      <w:r>
        <w:t xml:space="preserve">Bolivian posts say bitcoin circulation continues at</w:t>
      </w:r>
      <w:r>
        <w:t xml:space="preserve"> </w:t>
      </w:r>
      <w:r>
        <w:rPr>
          <w:rStyle w:val="VerbatimChar"/>
        </w:rPr>
        <w:t xml:space="preserve">@kerikitokafe</w:t>
      </w:r>
      <w:r>
        <w:t xml:space="preserve"> </w:t>
      </w:r>
      <w:r>
        <w:t xml:space="preserve">through food sales [16]. A related note says sats were sent from the Dominican Republic to the entrepreneur as an incentive during a live session with</w:t>
      </w:r>
      <w:r>
        <w:t xml:space="preserve"> </w:t>
      </w:r>
      <w:r>
        <w:rPr>
          <w:rStyle w:val="VerbatimChar"/>
        </w:rPr>
        <w:t xml:space="preserve">@btcdominicana</w:t>
      </w:r>
      <w:r>
        <w:t xml:space="preserve"> </w:t>
      </w:r>
      <w:r>
        <w:t xml:space="preserve">[16].</w:t>
      </w:r>
    </w:p>
    <w:p>
      <w:pPr>
        <w:pStyle w:val="BodyText"/>
      </w:pPr>
      <w:r>
        <w:rPr>
          <w:bCs/>
          <w:b/>
        </w:rPr>
        <w:t xml:space="preserve">Why it matters:</w:t>
      </w:r>
      <w:r>
        <w:t xml:space="preserve"> </w:t>
      </w:r>
      <w:r>
        <w:t xml:space="preserve">The source set pairs local merchant activity with a live cross-border payment example.</w:t>
      </w:r>
    </w:p>
    <w:bookmarkEnd w:id="33"/>
    <w:bookmarkStart w:id="34" w:name="X585097c4c9cd48816dda5e4f7089460e8d1212b"/>
    <w:p>
      <w:pPr>
        <w:pStyle w:val="Heading3"/>
      </w:pPr>
      <w:r>
        <w:t xml:space="preserve">Nigeria — Ekiti frames adoption as community circular spending</w:t>
      </w:r>
    </w:p>
    <w:p>
      <w:pPr>
        <w:pStyle w:val="FirstParagraph"/>
      </w:pPr>
      <w:r>
        <w:t xml:space="preserve">Bitcoin Ekiti describes evening patronage in sats as a way to build a real circular economy [15]. The accompanying post urges the community to</w:t>
      </w:r>
      <w:r>
        <w:t xml:space="preserve"> </w:t>
      </w:r>
      <w:r>
        <w:t xml:space="preserve">“</w:t>
      </w:r>
      <w:r>
        <w:t xml:space="preserve">Earn in sats. Spend in sats. Support your own,</w:t>
      </w:r>
      <w:r>
        <w:t xml:space="preserve">”</w:t>
      </w:r>
      <w:r>
        <w:t xml:space="preserve"> </w:t>
      </w:r>
      <w:r>
        <w:t xml:space="preserve">asks merchants whether they accept Bitcoin, and points to a specific merchant listing with</w:t>
      </w:r>
      <w:r>
        <w:t xml:space="preserve"> </w:t>
      </w:r>
      <w:r>
        <w:rPr>
          <w:rStyle w:val="VerbatimChar"/>
        </w:rPr>
        <w:t xml:space="preserve">Successpr3@blink.sv</w:t>
      </w:r>
      <w:r>
        <w:t xml:space="preserve"> </w:t>
      </w:r>
      <w:r>
        <w:t xml:space="preserve">on BTC Map [15].</w:t>
      </w:r>
    </w:p>
    <w:p>
      <w:pPr>
        <w:pStyle w:val="BlockText"/>
      </w:pPr>
      <w:r>
        <w:t xml:space="preserve">“</w:t>
      </w:r>
      <w:r>
        <w:t xml:space="preserve">Earn in sats. Spend in sats. Support your own.</w:t>
      </w:r>
      <w:r>
        <w:t xml:space="preserve">”</w:t>
      </w:r>
      <w:r>
        <w:t xml:space="preserve"> </w:t>
      </w:r>
      <w:r>
        <w:t xml:space="preserve">[15]</w:t>
      </w:r>
    </w:p>
    <w:p>
      <w:pPr>
        <w:pStyle w:val="FirstParagraph"/>
      </w:pPr>
      <w:r>
        <w:rPr>
          <w:bCs/>
          <w:b/>
        </w:rPr>
        <w:t xml:space="preserve">Why it matters:</w:t>
      </w:r>
      <w:r>
        <w:t xml:space="preserve"> </w:t>
      </w:r>
      <w:r>
        <w:t xml:space="preserve">The emphasis is not only on onboarding a merchant, but on creating repeat local demand.</w:t>
      </w:r>
    </w:p>
    <w:bookmarkEnd w:id="34"/>
    <w:bookmarkStart w:id="35" w:name="Xa13f4aa2f8d58675f19489b573a8e4c808414a5"/>
    <w:p>
      <w:pPr>
        <w:pStyle w:val="Heading3"/>
      </w:pPr>
      <w:r>
        <w:t xml:space="preserve">Zambia — fresh produce remains a visible entry point for Lightning payments</w:t>
      </w:r>
    </w:p>
    <w:p>
      <w:pPr>
        <w:pStyle w:val="FirstParagraph"/>
      </w:pPr>
      <w:r>
        <w:t xml:space="preserve">Watson Fruits in Livingstone shows Lightning acceptance at a fruit merchant, with a publicly listed merchant profile [14].</w:t>
      </w:r>
    </w:p>
    <w:p>
      <w:pPr>
        <w:pStyle w:val="BodyText"/>
      </w:pPr>
      <w:r>
        <w:rPr>
          <w:bCs/>
          <w:b/>
        </w:rPr>
        <w:t xml:space="preserve">Why it matters:</w:t>
      </w:r>
      <w:r>
        <w:t xml:space="preserve"> </w:t>
      </w:r>
      <w:r>
        <w:t xml:space="preserve">Food and produce remain one of the clearest categories for testing whether Bitcoin can function as routine spend.</w:t>
      </w:r>
    </w:p>
    <w:bookmarkEnd w:id="35"/>
    <w:bookmarkEnd w:id="36"/>
    <w:bookmarkStart w:id="54" w:name="adoption-outlook"/>
    <w:p>
      <w:pPr>
        <w:pStyle w:val="Heading2"/>
      </w:pPr>
      <w:r>
        <w:t xml:space="preserve">Adoption Outlook</w:t>
      </w:r>
    </w:p>
    <w:p>
      <w:pPr>
        <w:pStyle w:val="FirstParagraph"/>
      </w:pPr>
      <w:r>
        <w:t xml:space="preserve">The balance of evidence this cycle favors</w:t>
      </w:r>
      <w:r>
        <w:t xml:space="preserve"> </w:t>
      </w:r>
      <w:r>
        <w:rPr>
          <w:bCs/>
          <w:b/>
        </w:rPr>
        <w:t xml:space="preserve">small-merchant expansion and payment-rail experimentation</w:t>
      </w:r>
      <w:r>
        <w:t xml:space="preserve"> </w:t>
      </w:r>
      <w:r>
        <w:t xml:space="preserve">over large enterprise announcements. South Africa contributes the broadest mix—two in-person merchants plus a sats-focused shop initiative—while Bolivia remains the clearest market with a hard count and a new city-level foothold [1, 2, 4, 3]. Zambia and Nigeria continue to show Bitcoin positioned for everyday spend categories such as produce and local patronage [14, 15].</w:t>
      </w:r>
    </w:p>
    <w:p>
      <w:pPr>
        <w:pStyle w:val="BodyText"/>
      </w:pPr>
      <w:r>
        <w:t xml:space="preserve">On infrastructure, Lightning Enable’s L402 framing is the strongest sign that payment builders want Bitcoin settlement to work inside APIs and automated commerce, not only at retail checkout [5, 6, 10, 11]. The main limitation remains measurement: outside Bolivia’s 100-location figure, the current notes provide little transaction, volume, or merchant-performance reporting [3].</w:t>
      </w:r>
    </w:p>
    <w:p>
      <w:r>
        <w:pict>
          <v:rect style="width:0;height:1.5pt" o:hralign="center" o:hrstd="t" o:hr="t"/>
        </w:pict>
      </w:r>
    </w:p>
    <w:bookmarkStart w:id="53" w:name="sources"/>
    <w:p>
      <w:pPr>
        <w:pStyle w:val="Heading3"/>
      </w:pPr>
      <w:r>
        <w:t xml:space="preserve">Sources</w:t>
      </w:r>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@BitcoinKaroo</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@BitcoinKaroo</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@NickDarlington</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@BitcoinVicFalls</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@BitcoinEkiti</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@bitcoinr3</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s://x.com/BitcoinEkiti/status/2038323271905525820" TargetMode="External" /><Relationship Type="http://schemas.openxmlformats.org/officeDocument/2006/relationships/hyperlink" Id="rId37" Target="https://x.com/BitcoinKaroo/status/2038141793036914913" TargetMode="External" /><Relationship Type="http://schemas.openxmlformats.org/officeDocument/2006/relationships/hyperlink" Id="rId38" Target="https://x.com/BitcoinKaroo/status/2038165117653696528" TargetMode="External" /><Relationship Type="http://schemas.openxmlformats.org/officeDocument/2006/relationships/hyperlink" Id="rId50" Target="https://x.com/BitcoinVicFalls/status/2038310607707898022" TargetMode="External" /><Relationship Type="http://schemas.openxmlformats.org/officeDocument/2006/relationships/hyperlink" Id="rId40" Target="https://x.com/NickDarlington/status/2038264788447379661" TargetMode="External" /><Relationship Type="http://schemas.openxmlformats.org/officeDocument/2006/relationships/hyperlink" Id="rId52" Target="https://x.com/bitcoinr3/status/2038160518108623310" TargetMode="External" /><Relationship Type="http://schemas.openxmlformats.org/officeDocument/2006/relationships/hyperlink" Id="rId39" Target="https://x.com/bitcoinr3/status/2038306822214373415" TargetMode="External" /><Relationship Type="http://schemas.openxmlformats.org/officeDocument/2006/relationships/hyperlink" Id="rId48" Target="https://x.com/lightningenable/status/2038410897777893654" TargetMode="External" /><Relationship Type="http://schemas.openxmlformats.org/officeDocument/2006/relationships/hyperlink" Id="rId42" Target="https://x.com/lightningenable/status/2038410901653455329" TargetMode="External" /><Relationship Type="http://schemas.openxmlformats.org/officeDocument/2006/relationships/hyperlink" Id="rId43" Target="https://x.com/lightningenable/status/2038410907584221501" TargetMode="External" /><Relationship Type="http://schemas.openxmlformats.org/officeDocument/2006/relationships/hyperlink" Id="rId41" Target="https://x.com/lightningenable/status/2038410909463302245" TargetMode="External" /><Relationship Type="http://schemas.openxmlformats.org/officeDocument/2006/relationships/hyperlink" Id="rId45" Target="https://x.com/lightningenable/status/2038410911929557324" TargetMode="External" /><Relationship Type="http://schemas.openxmlformats.org/officeDocument/2006/relationships/hyperlink" Id="rId46" Target="https://x.com/lightningenable/status/2038410915792535918" TargetMode="External" /><Relationship Type="http://schemas.openxmlformats.org/officeDocument/2006/relationships/hyperlink" Id="rId44" Target="https://x.com/lightningenable/status/2038410918594281656" TargetMode="External" /><Relationship Type="http://schemas.openxmlformats.org/officeDocument/2006/relationships/hyperlink" Id="rId47" Target="https://x.com/lightningenable/status/2038410924365652477" TargetMode="External" /><Relationship Type="http://schemas.openxmlformats.org/officeDocument/2006/relationships/hyperlink" Id="rId49" Target="https://x.com/lightningenable/status/2038410926546657416" TargetMode="External" /></Relationships>
</file>

<file path=word/_rels/footnotes.xml.rels><?xml version="1.0" encoding="UTF-8"?><Relationships xmlns="http://schemas.openxmlformats.org/package/2006/relationships"><Relationship Type="http://schemas.openxmlformats.org/officeDocument/2006/relationships/hyperlink" Id="rId51" Target="https://x.com/BitcoinEkiti/status/2038323271905525820" TargetMode="External" /><Relationship Type="http://schemas.openxmlformats.org/officeDocument/2006/relationships/hyperlink" Id="rId37" Target="https://x.com/BitcoinKaroo/status/2038141793036914913" TargetMode="External" /><Relationship Type="http://schemas.openxmlformats.org/officeDocument/2006/relationships/hyperlink" Id="rId38" Target="https://x.com/BitcoinKaroo/status/2038165117653696528" TargetMode="External" /><Relationship Type="http://schemas.openxmlformats.org/officeDocument/2006/relationships/hyperlink" Id="rId50" Target="https://x.com/BitcoinVicFalls/status/2038310607707898022" TargetMode="External" /><Relationship Type="http://schemas.openxmlformats.org/officeDocument/2006/relationships/hyperlink" Id="rId40" Target="https://x.com/NickDarlington/status/2038264788447379661" TargetMode="External" /><Relationship Type="http://schemas.openxmlformats.org/officeDocument/2006/relationships/hyperlink" Id="rId52" Target="https://x.com/bitcoinr3/status/2038160518108623310" TargetMode="External" /><Relationship Type="http://schemas.openxmlformats.org/officeDocument/2006/relationships/hyperlink" Id="rId39" Target="https://x.com/bitcoinr3/status/2038306822214373415" TargetMode="External" /><Relationship Type="http://schemas.openxmlformats.org/officeDocument/2006/relationships/hyperlink" Id="rId48" Target="https://x.com/lightningenable/status/2038410897777893654" TargetMode="External" /><Relationship Type="http://schemas.openxmlformats.org/officeDocument/2006/relationships/hyperlink" Id="rId42" Target="https://x.com/lightningenable/status/2038410901653455329" TargetMode="External" /><Relationship Type="http://schemas.openxmlformats.org/officeDocument/2006/relationships/hyperlink" Id="rId43" Target="https://x.com/lightningenable/status/2038410907584221501" TargetMode="External" /><Relationship Type="http://schemas.openxmlformats.org/officeDocument/2006/relationships/hyperlink" Id="rId41" Target="https://x.com/lightningenable/status/2038410909463302245" TargetMode="External" /><Relationship Type="http://schemas.openxmlformats.org/officeDocument/2006/relationships/hyperlink" Id="rId45" Target="https://x.com/lightningenable/status/2038410911929557324" TargetMode="External" /><Relationship Type="http://schemas.openxmlformats.org/officeDocument/2006/relationships/hyperlink" Id="rId46" Target="https://x.com/lightningenable/status/2038410915792535918" TargetMode="External" /><Relationship Type="http://schemas.openxmlformats.org/officeDocument/2006/relationships/hyperlink" Id="rId44" Target="https://x.com/lightningenable/status/2038410918594281656" TargetMode="External" /><Relationship Type="http://schemas.openxmlformats.org/officeDocument/2006/relationships/hyperlink" Id="rId47" Target="https://x.com/lightningenable/status/2038410924365652477" TargetMode="External" /><Relationship Type="http://schemas.openxmlformats.org/officeDocument/2006/relationships/hyperlink" Id="rId49" Target="https://x.com/lightningenable/status/20384109265466574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Karoo Retail, Oruro Expansion, and L402 Broaden Bitcoin Payment Signals</dc:title>
  <dc:creator>Bitcoin Payment Adoption Tracker</dc:creator>
  <cp:keywords/>
  <dcterms:created xsi:type="dcterms:W3CDTF">2026-04-03T10:06:58Z</dcterms:created>
  <dcterms:modified xsi:type="dcterms:W3CDTF">2026-04-03T10:06:58Z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2026-03-30</vt:lpwstr>
  </property>
</Properties>
</file>