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Kenyan Payment Use Cases Deepen as Lightning Refund Tools and EU MiCA Clarity Advance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2026-06-24</w:t>
      </w:r>
    </w:p>
    <w:bookmarkStart w:id="48" w:name="Xfd62c2852ca017c9dfbb738cb362b4bd3ec6c00"/>
    <w:p>
      <w:pPr>
        <w:pStyle w:val="Heading1"/>
      </w:pPr>
      <w:r>
        <w:t xml:space="preserve">Kenyan Payment Use Cases Deepen as Lightning Refund Tools and EU MiCA Clarity Advance</w:t>
      </w:r>
    </w:p>
    <w:p>
      <w:pPr>
        <w:pStyle w:val="FirstParagraph"/>
      </w:pPr>
      <w:r>
        <w:rPr>
          <w:iCs/>
          <w:i/>
        </w:rPr>
        <w:t xml:space="preserve">By Bitcoin Payment Adoption Tracker • June 24, 2026</w:t>
      </w:r>
    </w:p>
    <w:p>
      <w:pPr>
        <w:pStyle w:val="BodyText"/>
      </w:pPr>
      <w:r>
        <w:t xml:space="preserve">Kenya produced the clearest medium-of-exchange signals in this batch, from direct tourism bookings to bitcoin-paid construction inputs. The report also covers MoneyBadger’s retail refund workflow for Lightning, Bull Bitcoin’s MiCA license in France, and the limited usage data disclosed elsewhere.</w:t>
      </w:r>
    </w:p>
    <w:bookmarkStart w:id="22" w:name="major-adoption-news"/>
    <w:p>
      <w:pPr>
        <w:pStyle w:val="Heading2"/>
      </w:pPr>
      <w:r>
        <w:t xml:space="preserve">Major Adoption News</w:t>
      </w:r>
    </w:p>
    <w:bookmarkStart w:id="20" w:name="X5ce5f389d09a614e23f49f48aa8cdb555e46fb1"/>
    <w:p>
      <w:pPr>
        <w:pStyle w:val="Heading3"/>
      </w:pPr>
      <w:r>
        <w:t xml:space="preserve">Kenya — Kilimanjaro Balloon Safaris adds direct bitcoin checkout</w:t>
      </w:r>
    </w:p>
    <w:p>
      <w:pPr>
        <w:pStyle w:val="FirstParagraph"/>
      </w:pPr>
      <w:r>
        <w:t xml:space="preserve">Kilimanjaro Balloon Safaris says customers can book Amboseli experiences and pay directly with bitcoin. A separate post says buyers can either pay the merchant directly in bitcoin or use Tando for the same booking path [1, 2].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This adds a tourism and leisure merchant to Kenya’s payment map, broadening bitcoin spending beyond small-ticket retail.</w:t>
      </w:r>
    </w:p>
    <w:bookmarkEnd w:id="20"/>
    <w:bookmarkStart w:id="21" w:name="X362479bf32e3527885418aa3253d230bc8b9b9e"/>
    <w:p>
      <w:pPr>
        <w:pStyle w:val="Heading3"/>
      </w:pPr>
      <w:r>
        <w:t xml:space="preserve">Rural Kenya — Bitcoin used across a two-month construction supply chain</w:t>
      </w:r>
    </w:p>
    <w:p>
      <w:pPr>
        <w:pStyle w:val="FirstParagraph"/>
      </w:pPr>
      <w:r>
        <w:t xml:space="preserve">Bitcoin Chama says Jusper built two bamboo cabins in two months using bitcoin-only payments for motorbike transport, labor, and most materials, with Tando used only a few times where bitcoin was unavailable [3].</w:t>
      </w:r>
    </w:p>
    <w:p>
      <w:pPr>
        <w:pStyle w:val="BodyTex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The significance is depth, not just merchant count: bitcoin was reportedly used across multiple counterparties and input categories in one project.</w:t>
      </w:r>
    </w:p>
    <w:bookmarkEnd w:id="21"/>
    <w:bookmarkEnd w:id="22"/>
    <w:bookmarkStart w:id="25" w:name="payment-infrastructure"/>
    <w:p>
      <w:pPr>
        <w:pStyle w:val="Heading2"/>
      </w:pPr>
      <w:r>
        <w:t xml:space="preserve">Payment Infrastructure</w:t>
      </w:r>
    </w:p>
    <w:bookmarkStart w:id="23" w:name="X9cda72412d777822a6b4427ab9399399979d7ec"/>
    <w:p>
      <w:pPr>
        <w:pStyle w:val="Heading3"/>
      </w:pPr>
      <w:r>
        <w:t xml:space="preserve">Cross-market retail merchants — MoneyBadger adds a Lightning refund-address workflow</w:t>
      </w:r>
    </w:p>
    <w:p>
      <w:pPr>
        <w:pStyle w:val="FirstParagraph"/>
      </w:pPr>
      <w:r>
        <w:t xml:space="preserve">MoneyBadger says Lightning refunds remain sender-initiated, so it now captures the payer’s Lightning Address at payment time, stores it with the transaction, and uses it when a refund is needed. It says the change mainly affects merchants that need refunds, such as ScanToPay retail locations [4, 5].</w:t>
      </w:r>
    </w:p>
    <w:p>
      <w:pPr>
        <w:pStyle w:val="BodyText"/>
      </w:pPr>
      <w:r>
        <w:t xml:space="preserve">Wallet and app developers can pass the refund address in three ways: the Scanner API</w:t>
      </w:r>
      <w:r>
        <w:t xml:space="preserve"> </w:t>
      </w:r>
      <w:r>
        <w:rPr>
          <w:rStyle w:val="VerbatimChar"/>
        </w:rPr>
        <w:t xml:space="preserve">refund_address</w:t>
      </w:r>
      <w:r>
        <w:t xml:space="preserve"> </w:t>
      </w:r>
      <w:r>
        <w:t xml:space="preserve">field, the LUD-18</w:t>
      </w:r>
      <w:r>
        <w:t xml:space="preserve"> </w:t>
      </w:r>
      <w:r>
        <w:rPr>
          <w:rStyle w:val="VerbatimChar"/>
        </w:rPr>
        <w:t xml:space="preserve">payerData</w:t>
      </w:r>
      <w:r>
        <w:t xml:space="preserve"> </w:t>
      </w:r>
      <w:r>
        <w:t xml:space="preserve">identifier field, or the</w:t>
      </w:r>
      <w:r>
        <w:t xml:space="preserve"> </w:t>
      </w:r>
      <w:r>
        <w:rPr>
          <w:rStyle w:val="VerbatimChar"/>
        </w:rPr>
        <w:t xml:space="preserve">X-REFUND-LIGHTNING-ADDRESS</w:t>
      </w:r>
      <w:r>
        <w:t xml:space="preserve"> </w:t>
      </w:r>
      <w:r>
        <w:t xml:space="preserve">HTTP header [6]. Collection is optional through 31 Aug 2026 and becomes enforced from 1 Sept 2026 for affected Lightning transactions [7].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Returns and cancellations are a basic retail requirement. Capturing refund details at checkout addresses one of the operational gaps in Lightning-based point-of-sale flows.</w:t>
      </w:r>
    </w:p>
    <w:bookmarkEnd w:id="23"/>
    <w:bookmarkStart w:id="24" w:name="X5170c52e12df75837b72cca05e96167943e780e"/>
    <w:p>
      <w:pPr>
        <w:pStyle w:val="Heading3"/>
      </w:pPr>
      <w:r>
        <w:t xml:space="preserve">Cross-market — Lightning Enable applies Lightning settlement to pay-per-request APIs</w:t>
      </w:r>
    </w:p>
    <w:p>
      <w:pPr>
        <w:pStyle w:val="FirstParagraph"/>
      </w:pPr>
      <w:r>
        <w:t xml:space="preserve">Lightning Enable says AI agents can pay for API access per request. It says an existing API can return an L402 payment challenge, accept a Lightning payment, and serve the response after settlement, with no new auth model and no custody requirement [8].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extends Lightning from human checkout into machine-to-machine billing, opening a new payment surface on Bitcoin rails.</w:t>
      </w:r>
    </w:p>
    <w:bookmarkEnd w:id="24"/>
    <w:bookmarkEnd w:id="25"/>
    <w:bookmarkStart w:id="28" w:name="regulatory-landscape"/>
    <w:p>
      <w:pPr>
        <w:pStyle w:val="Heading2"/>
      </w:pPr>
      <w:r>
        <w:t xml:space="preserve">Regulatory Landscape</w:t>
      </w:r>
    </w:p>
    <w:bookmarkStart w:id="26" w:name="X67d2323b53bfc9cd488faa180cd0e2bac6fbb7e"/>
    <w:p>
      <w:pPr>
        <w:pStyle w:val="Heading3"/>
      </w:pPr>
      <w:r>
        <w:t xml:space="preserve">France / European Union — Bull Bitcoin secures MiCA continuity for payment services</w:t>
      </w:r>
    </w:p>
    <w:p>
      <w:pPr>
        <w:pStyle w:val="FirstParagraph"/>
      </w:pPr>
      <w:r>
        <w:t xml:space="preserve">Bull Bitcoin says it obtained a MiCA license in France, allowing users in EU member states to continue using its bitcoin exchange and payment services legally without interruption or reduction in service [9].</w:t>
      </w:r>
    </w:p>
    <w:p>
      <w:pPr>
        <w:pStyle w:val="BlockText"/>
      </w:pPr>
      <w:r>
        <w:t xml:space="preserve">“</w:t>
      </w:r>
      <w:r>
        <w:t xml:space="preserve">Users from member states of the European Union will continue to be able to use Bull Bitcoin’s bitcoin exchange and payment services legally without any interruption or reduction in service.</w:t>
      </w:r>
      <w:r>
        <w:t xml:space="preserve">”</w:t>
      </w:r>
      <w:r>
        <w:t xml:space="preserve"> </w:t>
      </w:r>
      <w:r>
        <w:t xml:space="preserve">[9]</w:t>
      </w:r>
    </w:p>
    <w:p>
      <w:pPr>
        <w:pStyle w:val="FirstParagraph"/>
      </w:pPr>
      <w:r>
        <w:t xml:space="preserve">The company also says it kept its self-custody and privacy approach intact and passed PASSI and DORA cybersecurity audits without outsourcing its core Bitcoin infrastructure [9].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a concrete European compliance signal for bitcoin payments, and it suggests at least one provider believes MiCA-era licensing can coexist with self-custody and in-house Bitcoin infrastructure.</w:t>
      </w:r>
    </w:p>
    <w:bookmarkEnd w:id="26"/>
    <w:bookmarkStart w:id="27" w:name="Xf0534f6eae41461ecb6e62788cd959892731ed7"/>
    <w:p>
      <w:pPr>
        <w:pStyle w:val="Heading3"/>
      </w:pPr>
      <w:r>
        <w:t xml:space="preserve">Africa / Latin America — No explicit new payment rules cited</w:t>
      </w:r>
    </w:p>
    <w:p>
      <w:pPr>
        <w:pStyle w:val="FirstParagraph"/>
      </w:pPr>
      <w:r>
        <w:t xml:space="preserve">The supplied material from Africa and Latin America focused on merchant acceptance and payment operations, not new laws, licenses, or enforcement actions affecting bitcoin payments.</w:t>
      </w:r>
    </w:p>
    <w:bookmarkEnd w:id="27"/>
    <w:bookmarkEnd w:id="28"/>
    <w:bookmarkStart w:id="29" w:name="usage-metrics"/>
    <w:p>
      <w:pPr>
        <w:pStyle w:val="Heading2"/>
      </w:pPr>
      <w:r>
        <w:t xml:space="preserve">Usage Metrics</w:t>
      </w:r>
    </w:p>
    <w:p>
      <w:pPr>
        <w:pStyle w:val="FirstParagraph"/>
      </w:pPr>
      <w:r>
        <w:t xml:space="preserve">The provided material contained little aggregate volume data. The clearest quantitative signals were activity counts, pricing examples, and project timelines: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Rural Kenya:</w:t>
      </w:r>
      <w:r>
        <w:t xml:space="preserve"> </w:t>
      </w:r>
      <w:r>
        <w:t xml:space="preserve">two bamboo cabins reportedly completed in two months, with bitcoin used for transport, labor, and most materials; Tando was used only a few times when bitcoin was unavailable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Nairobi, Kenya:</w:t>
      </w:r>
      <w:r>
        <w:t xml:space="preserve"> </w:t>
      </w:r>
      <w:r>
        <w:t xml:space="preserve">a posted conference ticket offer was priced at KSh 4,000, with 1,000 returned in BTC for a net cost of KSh 3,000 [10].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Nairobi, Kenya:</w:t>
      </w:r>
      <w:r>
        <w:t xml:space="preserve"> </w:t>
      </w:r>
      <w:r>
        <w:t xml:space="preserve">one observer described visiting</w:t>
      </w:r>
      <w:r>
        <w:t xml:space="preserve"> </w:t>
      </w:r>
      <w:r>
        <w:rPr>
          <w:bCs/>
          <w:b/>
        </w:rPr>
        <w:t xml:space="preserve">three</w:t>
      </w:r>
      <w:r>
        <w:t xml:space="preserve"> </w:t>
      </w:r>
      <w:r>
        <w:t xml:space="preserve">Bitcoin circular economies — BitBiashara, bitcoingithurai, and btcbabies [11].</w:t>
      </w:r>
    </w:p>
    <w:bookmarkEnd w:id="29"/>
    <w:bookmarkStart w:id="32" w:name="emerging-markets"/>
    <w:p>
      <w:pPr>
        <w:pStyle w:val="Heading2"/>
      </w:pPr>
      <w:r>
        <w:t xml:space="preserve">Emerging Markets</w:t>
      </w:r>
    </w:p>
    <w:bookmarkStart w:id="30" w:name="Xa12c09bafa0c068441fd0bcce3df1239e3d1abb"/>
    <w:p>
      <w:pPr>
        <w:pStyle w:val="Heading3"/>
      </w:pPr>
      <w:r>
        <w:t xml:space="preserve">Burundi — Offline payments reach village commerce</w:t>
      </w:r>
    </w:p>
    <w:p>
      <w:pPr>
        <w:pStyle w:val="FirstParagraph"/>
      </w:pPr>
      <w:r>
        <w:t xml:space="preserve">BTC Shule shows a mother paying for salt in a Burundian village using Fedi Offline Payments and says the transaction worked without an internet connection [12].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Offline capability directly addresses a common constraint in low-connectivity markets, where network access can determine whether a digital payment is usable at the point of sale.</w:t>
      </w:r>
    </w:p>
    <w:bookmarkEnd w:id="30"/>
    <w:bookmarkStart w:id="31" w:name="Xa34b45734eb4a2279aa8703ee81a9034f3779aa"/>
    <w:p>
      <w:pPr>
        <w:pStyle w:val="Heading3"/>
      </w:pPr>
      <w:r>
        <w:t xml:space="preserve">Nairobi, Kenya — Circular economies remain the main grassroots engine</w:t>
      </w:r>
    </w:p>
    <w:p>
      <w:pPr>
        <w:pStyle w:val="FirstParagraph"/>
      </w:pPr>
      <w:r>
        <w:t xml:space="preserve">One post described Nairobi as buzzing with grassroots adoption after exploring three Bitcoin circular economies — BitBiashara, bitcoingithurai, and btcbabies [11]. Separately, a conference-related post said Bitcoin Circular Economies such as AfribitKibera, BtcBabies, and BitBiashara were a major focus alongside use of BTC as everyday money throughout Africa [13].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strongest Kenyan signal in this batch is clustered adoption: multiple communities, merchants, and spend paths reinforcing each other rather than isolated acceptance announcements.</w:t>
      </w:r>
    </w:p>
    <w:bookmarkEnd w:id="31"/>
    <w:bookmarkEnd w:id="32"/>
    <w:bookmarkStart w:id="47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Momentum in this batch came more from usable payment flows than from large new platforms or disclosed transaction totals. Africa supplied the clearest medium-of-exchange evidence through direct tourism bookings in Kenya, multi-counterparty spending in rural Kenya, and offline village commerce in Burundi [1, 3, 12]. Infrastructure work centered on merchant practicality — especially refunds and machine-to-machine billing — while Europe provided the clearest regulatory signal through Bull Bitcoin’s MiCA license in France [4, 8, 9]. The main gap remains hard usage data: the sources showed live spending examples and implementation milestones, but very few transaction-volume or adoption-growth figures.</w:t>
      </w:r>
    </w:p>
    <w:p>
      <w:r>
        <w:pict>
          <v:rect style="width:0;height:1.5pt" o:hralign="center" o:hrstd="t" o:hr="t"/>
        </w:pict>
      </w:r>
    </w:p>
    <w:bookmarkStart w:id="4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@tando_me</w:t>
        </w:r>
      </w:hyperlink>
    </w:p>
    <w:p>
      <w:pPr>
        <w:numPr>
          <w:ilvl w:val="0"/>
          <w:numId w:val="1002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@waithiraah</w:t>
        </w:r>
      </w:hyperlink>
    </w:p>
    <w:p>
      <w:pPr>
        <w:numPr>
          <w:ilvl w:val="0"/>
          <w:numId w:val="1002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@MoneyBadgerPay</w:t>
        </w:r>
      </w:hyperlink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@MoneyBadgerPay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@MoneyBadgerPay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@MoneyBadgerPay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@lightningenable</w:t>
        </w:r>
      </w:hyperlink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@francispouliot_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@tando_me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@btcshule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@FBCEglobal</w:t>
        </w:r>
      </w:hyperlink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3" Target="https://x.com/BitcoinEkasi/status/2069481730801815920" TargetMode="External" /><Relationship Type="http://schemas.openxmlformats.org/officeDocument/2006/relationships/hyperlink" Id="rId35" Target="https://x.com/Bitcoinchama/status/2069333374129316066" TargetMode="External" /><Relationship Type="http://schemas.openxmlformats.org/officeDocument/2006/relationships/hyperlink" Id="rId45" Target="https://x.com/FBCEglobal/status/2069408345547571430" TargetMode="External" /><Relationship Type="http://schemas.openxmlformats.org/officeDocument/2006/relationships/hyperlink" Id="rId36" Target="https://x.com/MoneyBadgerPay/status/2069352832776454344" TargetMode="External" /><Relationship Type="http://schemas.openxmlformats.org/officeDocument/2006/relationships/hyperlink" Id="rId37" Target="https://x.com/MoneyBadgerPay/status/2069353189023924426" TargetMode="External" /><Relationship Type="http://schemas.openxmlformats.org/officeDocument/2006/relationships/hyperlink" Id="rId38" Target="https://x.com/MoneyBadgerPay/status/2069353505454694860" TargetMode="External" /><Relationship Type="http://schemas.openxmlformats.org/officeDocument/2006/relationships/hyperlink" Id="rId39" Target="https://x.com/MoneyBadgerPay/status/2069353642784649353" TargetMode="External" /><Relationship Type="http://schemas.openxmlformats.org/officeDocument/2006/relationships/hyperlink" Id="rId44" Target="https://x.com/btcshule/status/2069483384418529376" TargetMode="External" /><Relationship Type="http://schemas.openxmlformats.org/officeDocument/2006/relationships/hyperlink" Id="rId41" Target="https://x.com/francispouliot_/status/2069404801662619925" TargetMode="External" /><Relationship Type="http://schemas.openxmlformats.org/officeDocument/2006/relationships/hyperlink" Id="rId40" Target="https://x.com/lightningenable/status/2069510050331103682" TargetMode="External" /><Relationship Type="http://schemas.openxmlformats.org/officeDocument/2006/relationships/hyperlink" Id="rId33" Target="https://x.com/tando_me/status/2069302476214263899" TargetMode="External" /><Relationship Type="http://schemas.openxmlformats.org/officeDocument/2006/relationships/hyperlink" Id="rId42" Target="https://x.com/tando_me/status/2069307453003423792" TargetMode="External" /><Relationship Type="http://schemas.openxmlformats.org/officeDocument/2006/relationships/hyperlink" Id="rId34" Target="https://x.com/waithiraah/status/206930543360129030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https://x.com/BitcoinEkasi/status/2069481730801815920" TargetMode="External" /><Relationship Type="http://schemas.openxmlformats.org/officeDocument/2006/relationships/hyperlink" Id="rId35" Target="https://x.com/Bitcoinchama/status/2069333374129316066" TargetMode="External" /><Relationship Type="http://schemas.openxmlformats.org/officeDocument/2006/relationships/hyperlink" Id="rId45" Target="https://x.com/FBCEglobal/status/2069408345547571430" TargetMode="External" /><Relationship Type="http://schemas.openxmlformats.org/officeDocument/2006/relationships/hyperlink" Id="rId36" Target="https://x.com/MoneyBadgerPay/status/2069352832776454344" TargetMode="External" /><Relationship Type="http://schemas.openxmlformats.org/officeDocument/2006/relationships/hyperlink" Id="rId37" Target="https://x.com/MoneyBadgerPay/status/2069353189023924426" TargetMode="External" /><Relationship Type="http://schemas.openxmlformats.org/officeDocument/2006/relationships/hyperlink" Id="rId38" Target="https://x.com/MoneyBadgerPay/status/2069353505454694860" TargetMode="External" /><Relationship Type="http://schemas.openxmlformats.org/officeDocument/2006/relationships/hyperlink" Id="rId39" Target="https://x.com/MoneyBadgerPay/status/2069353642784649353" TargetMode="External" /><Relationship Type="http://schemas.openxmlformats.org/officeDocument/2006/relationships/hyperlink" Id="rId44" Target="https://x.com/btcshule/status/2069483384418529376" TargetMode="External" /><Relationship Type="http://schemas.openxmlformats.org/officeDocument/2006/relationships/hyperlink" Id="rId41" Target="https://x.com/francispouliot_/status/2069404801662619925" TargetMode="External" /><Relationship Type="http://schemas.openxmlformats.org/officeDocument/2006/relationships/hyperlink" Id="rId40" Target="https://x.com/lightningenable/status/2069510050331103682" TargetMode="External" /><Relationship Type="http://schemas.openxmlformats.org/officeDocument/2006/relationships/hyperlink" Id="rId33" Target="https://x.com/tando_me/status/2069302476214263899" TargetMode="External" /><Relationship Type="http://schemas.openxmlformats.org/officeDocument/2006/relationships/hyperlink" Id="rId42" Target="https://x.com/tando_me/status/2069307453003423792" TargetMode="External" /><Relationship Type="http://schemas.openxmlformats.org/officeDocument/2006/relationships/hyperlink" Id="rId34" Target="https://x.com/waithiraah/status/206930543360129030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Kenyan Payment Use Cases Deepen as Lightning Refund Tools and EU MiCA Clarity Advance</dc:title>
  <dc:creator>Bitcoin Payment Adoption Tracker</dc:creator>
  <cp:keywords/>
  <dcterms:created xsi:type="dcterms:W3CDTF">2026-07-03T18:28:34Z</dcterms:created>
  <dcterms:modified xsi:type="dcterms:W3CDTF">2026-07-03T18:28:34Z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2026-06-24</vt:lpwstr>
  </property>
</Properties>
</file>