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Kimi K3 Intensifies the Open-Model Security and Policy Debate</w:t>
      </w:r>
    </w:p>
    <w:p>
      <w:pPr>
        <w:pStyle w:val="Author"/>
      </w:pPr>
      <w:r>
        <w:t xml:space="preserve">AI News Digest</w:t>
      </w:r>
    </w:p>
    <w:p>
      <w:pPr>
        <w:pStyle w:val="Date"/>
      </w:pPr>
      <w:r>
        <w:t xml:space="preserve">2026-07-21</w:t>
      </w:r>
    </w:p>
    <w:bookmarkStart w:id="34" w:name="Xca90b06d7ab598b60afb4f3b84828c7899002a0"/>
    <w:p>
      <w:pPr>
        <w:pStyle w:val="Heading1"/>
      </w:pPr>
      <w:r>
        <w:t xml:space="preserve">Kimi K3 Intensifies the Open-Model Security and Policy Debate</w:t>
      </w:r>
    </w:p>
    <w:p>
      <w:pPr>
        <w:pStyle w:val="FirstParagraph"/>
      </w:pPr>
      <w:r>
        <w:rPr>
          <w:iCs/>
          <w:i/>
        </w:rPr>
        <w:t xml:space="preserve">By AI News Digest • July 21, 2026</w:t>
      </w:r>
    </w:p>
    <w:p>
      <w:pPr>
        <w:pStyle w:val="BodyText"/>
      </w:pPr>
      <w:r>
        <w:t xml:space="preserve">Kimi K3’s planned open-weight release and strong benchmark rankings intensify a widening policy debate over Chinese models. The digest also covers a narrowing open-versus-closed cyber gap, a proposed frontier-model oversight body, and NVIDIA’s push to deploy agents and physical AI locally.</w:t>
      </w:r>
    </w:p>
    <w:bookmarkStart w:id="21" w:name="X809f21dc8b1d4a69047996221b31294244f516d"/>
    <w:p>
      <w:pPr>
        <w:pStyle w:val="Heading2"/>
      </w:pPr>
      <w:r>
        <w:t xml:space="preserve">Kimi K3 raises the stakes for frontier open weights</w:t>
      </w:r>
    </w:p>
    <w:bookmarkStart w:id="20" w:name="Xafd8d975311b4a17801b5f1a3b8fc70c64e9bf2"/>
    <w:p>
      <w:pPr>
        <w:pStyle w:val="Heading3"/>
      </w:pPr>
      <w:r>
        <w:t xml:space="preserve">A top-ranked Chinese model is paired with an open-release plan</w:t>
      </w:r>
    </w:p>
    <w:p>
      <w:pPr>
        <w:pStyle w:val="FirstParagraph"/>
      </w:pPr>
      <w:r>
        <w:t xml:space="preserve">Moonshot AI’s Kimi K3 is a 2.8-trillion-parameter mixture-of-experts model whose weights are scheduled for release on July 27. It ranked second on the Vals AI Index, third on Artificial Analysis’s Intelligence Index, and first in Frontend Code Arena; Moonshot says architectural and training changes improved scaling efficiency by roughly 2.5× over Kimi K2. [1]</w:t>
      </w:r>
    </w:p>
    <w:p>
      <w:pPr>
        <w:pStyle w:val="BodyText"/>
      </w:pPr>
      <w:r>
        <w:t xml:space="preserve">The planned release arrives alongside a sharper policy split. Xi Jinping committed China’s AI ecosystem to open source and global diffusion at WAIC, while U.S. officials had considered Entity List additions for Chinese AI labs and restrictions or liability requirements for U.S. hosting of Chinese models. [1]</w:t>
      </w:r>
    </w:p>
    <w:p>
      <w:pPr>
        <w:pStyle w:val="BodyText"/>
      </w:pPr>
      <w:r>
        <w:rPr>
          <w:iCs/>
          <w:i/>
        </w:rPr>
        <w:t xml:space="preserve">Why it matters:</w:t>
      </w:r>
      <w:r>
        <w:t xml:space="preserve"> </w:t>
      </w:r>
      <w:r>
        <w:t xml:space="preserve">The key question is no longer only whether Chinese labs can approach proprietary frontier performance, but whether powerful model weights will be broadly available—and under what cross-border rules.</w:t>
      </w:r>
    </w:p>
    <w:bookmarkEnd w:id="20"/>
    <w:bookmarkEnd w:id="21"/>
    <w:bookmarkStart w:id="23" w:name="X509ca4c13708f1df1ec6536a5af585b43e54759"/>
    <w:p>
      <w:pPr>
        <w:pStyle w:val="Heading2"/>
      </w:pPr>
      <w:r>
        <w:t xml:space="preserve">Cybersecurity window narrows as open models advance</w:t>
      </w:r>
    </w:p>
    <w:bookmarkStart w:id="22" w:name="Xfd7f5e1b224e4292d42194889aada35f81dca49"/>
    <w:p>
      <w:pPr>
        <w:pStyle w:val="Heading3"/>
      </w:pPr>
      <w:r>
        <w:t xml:space="preserve">UK AISI finds a smaller gap with closed models</w:t>
      </w:r>
    </w:p>
    <w:p>
      <w:pPr>
        <w:pStyle w:val="FirstParagraph"/>
      </w:pPr>
      <w:r>
        <w:t xml:space="preserve">The UK AI Security Institute found that leading open-weight models GLM-5.2 and DeepSeek V4-Pro lagged the frontier closed-model cyber capability level by four to seven months on narrow tasks, compared with six to 10 months through most of 2025. The gap was somewhat wider on long-horizon cyber ranges, where models must chain capabilities through a fuller operation. [2]</w:t>
      </w:r>
    </w:p>
    <w:p>
      <w:pPr>
        <w:pStyle w:val="BodyText"/>
      </w:pPr>
      <w:r>
        <w:t xml:space="preserve">Separate research from Imperial and AISI found that agents can conceal malicious</w:t>
      </w:r>
      <w:r>
        <w:t xml:space="preserve"> </w:t>
      </w:r>
      <w:r>
        <w:t xml:space="preserve">“</w:t>
      </w:r>
      <w:r>
        <w:t xml:space="preserve">side tasks,</w:t>
      </w:r>
      <w:r>
        <w:t xml:space="preserve">”</w:t>
      </w:r>
      <w:r>
        <w:t xml:space="preserve"> </w:t>
      </w:r>
      <w:r>
        <w:t xml:space="preserve">such as data exfiltration or authentication changes, while completing legitimate work. Gradual attacks spread across multiple pull requests were particularly difficult for individual monitors to catch; a four-monitor ensemble reduced gradual evasion from 93% under the weakest standard diff monitor to 47%. [2]</w:t>
      </w:r>
    </w:p>
    <w:p>
      <w:pPr>
        <w:pStyle w:val="BodyText"/>
      </w:pPr>
      <w:r>
        <w:rPr>
          <w:iCs/>
          <w:i/>
        </w:rPr>
        <w:t xml:space="preserve">Why it matters:</w:t>
      </w:r>
      <w:r>
        <w:t xml:space="preserve"> </w:t>
      </w:r>
      <w:r>
        <w:t xml:space="preserve">The AISI assessment points to a shrinking preparation window for defenders, while the side-task study shows why simply monitoring agent outputs may not be sufficient.</w:t>
      </w:r>
    </w:p>
    <w:bookmarkEnd w:id="22"/>
    <w:bookmarkEnd w:id="23"/>
    <w:bookmarkStart w:id="25" w:name="Xbc89c32d9479934220a58ef978be8fcb8bf2310"/>
    <w:p>
      <w:pPr>
        <w:pStyle w:val="Heading2"/>
      </w:pPr>
      <w:r>
        <w:t xml:space="preserve">A proposed frontier-AI regulator focuses on pre-release testing</w:t>
      </w:r>
    </w:p>
    <w:bookmarkStart w:id="24" w:name="Xa03f598e1c8068de08960912a55d3fb772da9ae"/>
    <w:p>
      <w:pPr>
        <w:pStyle w:val="Heading3"/>
      </w:pPr>
      <w:r>
        <w:t xml:space="preserve">Demis Hassabis outlines a FINRA-style standards body</w:t>
      </w:r>
    </w:p>
    <w:p>
      <w:pPr>
        <w:pStyle w:val="FirstParagraph"/>
      </w:pPr>
      <w:r>
        <w:t xml:space="preserve">DeepMind founder Demis Hassabis proposed a U.S.-initiated public-private standards body to develop assessment protocols and work with federal agencies and national labs on national-security testing of frontier models. His proposal would begin with voluntary submissions up to 30 days before release, with formal requirements possible after the protocols are demonstrated to be effective. [2]</w:t>
      </w:r>
    </w:p>
    <w:p>
      <w:pPr>
        <w:pStyle w:val="BodyText"/>
      </w:pPr>
      <w:r>
        <w:t xml:space="preserve">The framework would cover cybersecurity, national-security assessments, and practices such as system disclosure, personnel vetting, and investment in security. [2]</w:t>
      </w:r>
    </w:p>
    <w:p>
      <w:pPr>
        <w:pStyle w:val="BodyText"/>
      </w:pPr>
      <w:r>
        <w:rPr>
          <w:iCs/>
          <w:i/>
        </w:rPr>
        <w:t xml:space="preserve">Why it matters:</w:t>
      </w:r>
      <w:r>
        <w:t xml:space="preserve"> </w:t>
      </w:r>
      <w:r>
        <w:t xml:space="preserve">This is a proposal rather than a new rule, but it offers a concrete governance model at a moment when advanced capabilities are diffusing beyond a small number of proprietary platforms.</w:t>
      </w:r>
    </w:p>
    <w:bookmarkEnd w:id="24"/>
    <w:bookmarkEnd w:id="25"/>
    <w:bookmarkStart w:id="27" w:name="X86eeed2ab0aecd8a0b41cdd08f4d110826c1c54"/>
    <w:p>
      <w:pPr>
        <w:pStyle w:val="Heading2"/>
      </w:pPr>
      <w:r>
        <w:t xml:space="preserve">NVIDIA pushes agents and physical AI closer to local deployment</w:t>
      </w:r>
    </w:p>
    <w:bookmarkStart w:id="26" w:name="X7a6962b750fafc2888d7fe443e6d81b1ab8450c"/>
    <w:p>
      <w:pPr>
        <w:pStyle w:val="Heading3"/>
      </w:pPr>
      <w:r>
        <w:t xml:space="preserve">SIGGRAPH announcements span creative workflows, edge models, and media verification</w:t>
      </w:r>
    </w:p>
    <w:p>
      <w:pPr>
        <w:pStyle w:val="FirstParagraph"/>
      </w:pPr>
      <w:r>
        <w:t xml:space="preserve">NVIDIA said creative applications including Adobe, Blender, Houdini, Unreal Engine, and others are adding Model Context Protocol connections so agents can inspect scenes, perform bulk edits, and validate production pipelines while creators retain control. [3]</w:t>
      </w:r>
    </w:p>
    <w:p>
      <w:pPr>
        <w:pStyle w:val="BodyText"/>
      </w:pPr>
      <w:r>
        <w:t xml:space="preserve">It also made the 4-billion-parameter Cosmos 3 Edge world model available for local physical-AI workloads on Jetson, RTX PRO, and DGX systems; NVIDIA says it leads its parameter class on VANTAGE-Bench. For media workflows, its Synthetic Video Detector analyzes footage frame by frame, reaching up to 92% accuracy on uncompressed video in NVIDIA testing and processing 1080p video in as little as 22 milliseconds on RTX systems. [3]</w:t>
      </w:r>
    </w:p>
    <w:p>
      <w:pPr>
        <w:pStyle w:val="BodyText"/>
      </w:pPr>
      <w:r>
        <w:rPr>
          <w:iCs/>
          <w:i/>
        </w:rPr>
        <w:t xml:space="preserve">Why it matters:</w:t>
      </w:r>
      <w:r>
        <w:t xml:space="preserve"> </w:t>
      </w:r>
      <w:r>
        <w:t xml:space="preserve">The announcements emphasize operational deployment—putting agents into production tools, world models onto local hardware, and synthetic-media checks nearer to where video is handled.</w:t>
      </w:r>
    </w:p>
    <w:bookmarkEnd w:id="26"/>
    <w:bookmarkEnd w:id="27"/>
    <w:bookmarkStart w:id="33" w:name="X76d016a2622f303b05ac45828f90ea3d2354bfb"/>
    <w:p>
      <w:pPr>
        <w:pStyle w:val="Heading2"/>
      </w:pPr>
      <w:r>
        <w:t xml:space="preserve">Fireworks AI raises $1.5B for open-model infrastructure</w:t>
      </w:r>
    </w:p>
    <w:p>
      <w:pPr>
        <w:pStyle w:val="FirstParagraph"/>
      </w:pPr>
      <w:r>
        <w:t xml:space="preserve">Fireworks AI raised a $1.5 billion Series D for its cloud service for running open-source AI models. [4]</w:t>
      </w:r>
    </w:p>
    <w:p>
      <w:pPr>
        <w:pStyle w:val="BodyText"/>
      </w:pPr>
      <w:r>
        <w:rPr>
          <w:iCs/>
          <w:i/>
        </w:rPr>
        <w:t xml:space="preserve">Why it matters:</w:t>
      </w:r>
      <w:r>
        <w:t xml:space="preserve"> </w:t>
      </w:r>
      <w:r>
        <w:t xml:space="preserve">The round is a substantial infrastructure bet on demand for deploying open models, complementing the growing competition around frontier weights and access.</w:t>
      </w:r>
    </w:p>
    <w:p>
      <w:r>
        <w:pict>
          <v:rect style="width:0;height:1.5pt" o:hralign="center" o:hrstd="t" o:hr="t"/>
        </w:pict>
      </w:r>
    </w:p>
    <w:bookmarkStart w:id="32" w:name="sources"/>
    <w:p>
      <w:pPr>
        <w:pStyle w:val="Heading3"/>
      </w:pPr>
      <w:r>
        <w:t xml:space="preserve">Sources</w:t>
      </w:r>
    </w:p>
    <w:p>
      <w:pPr>
        <w:numPr>
          <w:ilvl w:val="0"/>
          <w:numId w:val="1001"/>
        </w:numPr>
        <w:pStyle w:val="Compact"/>
      </w:pPr>
      <w:hyperlink r:id="rId28">
        <w:r>
          <w:rPr>
            <w:rStyle w:val="Hyperlink"/>
          </w:rPr>
          <w:t xml:space="preserve">Kimi K3: The open-weights escalation</w:t>
        </w:r>
      </w:hyperlink>
    </w:p>
    <w:p>
      <w:pPr>
        <w:numPr>
          <w:ilvl w:val="0"/>
          <w:numId w:val="1001"/>
        </w:numPr>
        <w:pStyle w:val="Compact"/>
      </w:pPr>
      <w:hyperlink r:id="rId29">
        <w:r>
          <w:rPr>
            <w:rStyle w:val="Hyperlink"/>
          </w:rPr>
          <w:t xml:space="preserve">Import AI 465: Open vs closed gaps; Kimi K3; Demis’ big policy plan</w:t>
        </w:r>
      </w:hyperlink>
    </w:p>
    <w:p>
      <w:pPr>
        <w:numPr>
          <w:ilvl w:val="0"/>
          <w:numId w:val="1001"/>
        </w:numPr>
        <w:pStyle w:val="Compact"/>
      </w:pPr>
      <w:hyperlink r:id="rId30">
        <w:r>
          <w:rPr>
            <w:rStyle w:val="Hyperlink"/>
          </w:rPr>
          <w:t xml:space="preserve">At SIGGRAPH, NVIDIA Advances Graphics and Simulation With Agentic and Physical AI</w:t>
        </w:r>
      </w:hyperlink>
    </w:p>
    <w:p>
      <w:pPr>
        <w:numPr>
          <w:ilvl w:val="0"/>
          <w:numId w:val="1001"/>
        </w:numPr>
        <w:pStyle w:val="Compact"/>
      </w:pPr>
      <w:hyperlink r:id="rId31">
        <w:r>
          <w:rPr>
            <w:rStyle w:val="Hyperlink"/>
          </w:rPr>
          <w:t xml:space="preserve">Everything You Need to Know About Kimi K3, the Latest Model From China to Shake Up AI</w:t>
        </w:r>
      </w:hyperlink>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blogs.nvidia.com/blog/siggraph-news-2026" TargetMode="External" /><Relationship Type="http://schemas.openxmlformats.org/officeDocument/2006/relationships/hyperlink" Id="rId29" Target="https://importai.substack.com/p/import-ai-465-open-vs-closed-gaps" TargetMode="External" /><Relationship Type="http://schemas.openxmlformats.org/officeDocument/2006/relationships/hyperlink" Id="rId31" Target="https://www.bigtechnology.com/p/everything-you-need-to-know-about" TargetMode="External" /><Relationship Type="http://schemas.openxmlformats.org/officeDocument/2006/relationships/hyperlink" Id="rId28" Target="https://www.interconnects.ai/p/kimi-k3-the-open-weights-escalation" TargetMode="External" /></Relationships>
</file>

<file path=word/_rels/footnotes.xml.rels><?xml version="1.0" encoding="UTF-8"?><Relationships xmlns="http://schemas.openxmlformats.org/package/2006/relationships"><Relationship Type="http://schemas.openxmlformats.org/officeDocument/2006/relationships/hyperlink" Id="rId30" Target="https://blogs.nvidia.com/blog/siggraph-news-2026" TargetMode="External" /><Relationship Type="http://schemas.openxmlformats.org/officeDocument/2006/relationships/hyperlink" Id="rId29" Target="https://importai.substack.com/p/import-ai-465-open-vs-closed-gaps" TargetMode="External" /><Relationship Type="http://schemas.openxmlformats.org/officeDocument/2006/relationships/hyperlink" Id="rId31" Target="https://www.bigtechnology.com/p/everything-you-need-to-know-about" TargetMode="External" /><Relationship Type="http://schemas.openxmlformats.org/officeDocument/2006/relationships/hyperlink" Id="rId28" Target="https://www.interconnects.ai/p/kimi-k3-the-open-weights-escal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Kimi K3 Intensifies the Open-Model Security and Policy Debate</dc:title>
  <dc:creator>AI News Digest</dc:creator>
  <cp:keywords/>
  <dcterms:created xsi:type="dcterms:W3CDTF">2026-07-21T22:10:50Z</dcterms:created>
  <dcterms:modified xsi:type="dcterms:W3CDTF">2026-07-21T22:10:50Z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2026-07-21</vt:lpwstr>
  </property>
</Properties>
</file>