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Lightning Adds Threshold Custody and Agent-Payment Tooling as Grassroots Checkout Remains Unquantified</w:t>
      </w:r>
    </w:p>
    <w:p>
      <w:pPr>
        <w:pStyle w:val="Author"/>
      </w:pPr>
      <w:r>
        <w:t xml:space="preserve">Bitcoin Payment Adoption Tracker</w:t>
      </w:r>
    </w:p>
    <w:p>
      <w:pPr>
        <w:pStyle w:val="Date"/>
      </w:pPr>
      <w:r>
        <w:t xml:space="preserve">2026-08-23</w:t>
      </w:r>
    </w:p>
    <w:bookmarkStart w:id="41" w:name="X7b0d0e8e261ff3db046070299e80f6b3757e749"/>
    <w:p>
      <w:pPr>
        <w:pStyle w:val="Heading1"/>
      </w:pPr>
      <w:r>
        <w:t xml:space="preserve">Lightning Adds Threshold Custody and Agent-Payment Tooling as Grassroots Checkout Remains Unquantified</w:t>
      </w:r>
    </w:p>
    <w:p>
      <w:pPr>
        <w:pStyle w:val="FirstParagraph"/>
      </w:pPr>
      <w:r>
        <w:rPr>
          <w:iCs/>
          <w:i/>
        </w:rPr>
        <w:t xml:space="preserve">By Bitcoin Payment Adoption Tracker • August 23, 2026</w:t>
      </w:r>
    </w:p>
    <w:p>
      <w:pPr>
        <w:pStyle w:val="BodyText"/>
      </w:pPr>
      <w:r>
        <w:t xml:space="preserve">A linked Lightning paper claims threshold custody without protocol changes and more than 93% of unmodified payment throughput, while Lightning Enable packages L402 into an agent wallet and Bitcoin Aruba markets free BTCPay onboarding. Current retail signals include a Fedi biscuit purchase and family Lightning use, but no aggregate scale data.</w:t>
      </w:r>
    </w:p>
    <w:bookmarkStart w:id="20" w:name="major-adoption-news"/>
    <w:p>
      <w:pPr>
        <w:pStyle w:val="Heading2"/>
      </w:pPr>
      <w:r>
        <w:t xml:space="preserve">Major Adoption News</w:t>
      </w:r>
    </w:p>
    <w:p>
      <w:pPr>
        <w:pStyle w:val="FirstParagraph"/>
      </w:pPr>
      <w:r>
        <w:rPr>
          <w:bCs/>
          <w:b/>
        </w:rPr>
        <w:t xml:space="preserve">Aruba — Bitcoin Aruba is marketing a free BTCPay onboarding path.</w:t>
      </w:r>
      <w:r>
        <w:t xml:space="preserve"> </w:t>
      </w:r>
      <w:r>
        <w:t xml:space="preserve">The BTC.aw page advertises a free BTCPay Server for accepting Bitcoin online or in-store, with no processing fees. [1] It opens registration for a free</w:t>
      </w:r>
      <w:r>
        <w:t xml:space="preserve"> </w:t>
      </w:r>
      <w:r>
        <w:t xml:space="preserve">“</w:t>
      </w:r>
      <w:r>
        <w:t xml:space="preserve">Bitcoin Aruba</w:t>
      </w:r>
      <w:r>
        <w:t xml:space="preserve">”</w:t>
      </w:r>
      <w:r>
        <w:t xml:space="preserve"> </w:t>
      </w:r>
      <w:r>
        <w:t xml:space="preserve">account, instructs users to connect an external wallet, and says funds go directly to that wallet rather than being held by the service. [1] The offer includes point of sale, payment buttons, invoicing, e-commerce integrations and Lightning support. [1] This is a supply-side onboarding initiative, not evidence of merchant enrollment, settled sales or repeat use; its business proposition is to reduce processor-fee and custody friction for prospective acceptors.</w:t>
      </w:r>
    </w:p>
    <w:p>
      <w:pPr>
        <w:pStyle w:val="BodyText"/>
      </w:pPr>
      <w:r>
        <w:rPr>
          <w:bCs/>
          <w:b/>
        </w:rPr>
        <w:t xml:space="preserve">Online, location not stated — Shopinbit is being promoted as a Bitcoin-paid shopping service.</w:t>
      </w:r>
      <w:r>
        <w:t xml:space="preserve"> </w:t>
      </w:r>
      <w:r>
        <w:t xml:space="preserve">@JoeNakamoto</w:t>
      </w:r>
      <w:r>
        <w:t xml:space="preserve">’s post says a customer can ask Shopinbit to find a car, watch or gift, pay in Bitcoin and receive the item, while offering a first-purchase discount code. [2] That broadens the visible spending proposition beyond local checkout, but the post is an endorsement rather than evidence of a completed order or transaction volume.</w:t>
      </w:r>
    </w:p>
    <w:bookmarkEnd w:id="20"/>
    <w:bookmarkStart w:id="21" w:name="payment-infrastructure"/>
    <w:p>
      <w:pPr>
        <w:pStyle w:val="Heading2"/>
      </w:pPr>
      <w:r>
        <w:t xml:space="preserve">Payment Infrastructure</w:t>
      </w:r>
    </w:p>
    <w:p>
      <w:pPr>
        <w:pStyle w:val="FirstParagraph"/>
      </w:pPr>
      <w:r>
        <w:rPr>
          <w:bCs/>
          <w:b/>
        </w:rPr>
        <w:t xml:space="preserve">Lightning channel security — threshold custody is being presented as compatible with today’s channels.</w:t>
      </w:r>
      <w:r>
        <w:t xml:space="preserve"> </w:t>
      </w:r>
      <w:r>
        <w:t xml:space="preserve">Jesse Posner linked a paper arguing that a counterparty can use multisignature protection in a Lightning channel without changing the protocol. [3] The paper’s abstract describes</w:t>
      </w:r>
      <w:r>
        <w:t xml:space="preserve"> </w:t>
      </w:r>
      <w:r>
        <w:t xml:space="preserve">“</w:t>
      </w:r>
      <w:r>
        <w:t xml:space="preserve">Iceberg,</w:t>
      </w:r>
      <w:r>
        <w:t xml:space="preserve">”</w:t>
      </w:r>
      <w:r>
        <w:t xml:space="preserve"> </w:t>
      </w:r>
      <w:r>
        <w:t xml:space="preserve">a nested-threshold MuSig2 construction that lets one side of a channel operate as a</w:t>
      </w:r>
      <w:r>
        <w:t xml:space="preserve"> </w:t>
      </w:r>
      <m:oMath>
        <m:r>
          <m:t>t</m:t>
        </m:r>
      </m:oMath>
      <w:r>
        <w:t xml:space="preserve">-of-</w:t>
      </w:r>
      <m:oMath>
        <m:r>
          <m:t>n</m:t>
        </m:r>
      </m:oMath>
      <w:r>
        <w:t xml:space="preserve"> </w:t>
      </w:r>
      <w:r>
        <w:t xml:space="preserve">group while appearing to the counterparty as a standard participant. It says this can be deployed on today’s Lightning Network without modifying Bitcoin, Lightning or channel counterparties; it also reports a prototype integrated into a production Lightning node and more than 93% of the payment throughput of an unmodified endpoint when the threshold group tolerates one corrupted member. [4] If deployed beyond the prototype, this could distribute signing authority for payment nodes without requiring changes by merchants or channel peers. The abstract-level benchmark is not evidence of network-wide deployment.</w:t>
      </w:r>
    </w:p>
    <w:p>
      <w:pPr>
        <w:pStyle w:val="BodyText"/>
      </w:pPr>
      <w:r>
        <w:rPr>
          <w:bCs/>
          <w:b/>
        </w:rPr>
        <w:t xml:space="preserve">Agentic payments — Lightning Enable is packaging invoice and L402 payments into an MCP wallet workflow.</w:t>
      </w:r>
      <w:r>
        <w:t xml:space="preserve"> </w:t>
      </w:r>
      <w:r>
        <w:t xml:space="preserve">Its current post recommends giving an agent a small Lightning wallet separate from the main wallet, connecting Strike or NWC, and running</w:t>
      </w:r>
      <w:r>
        <w:t xml:space="preserve"> </w:t>
      </w:r>
      <w:r>
        <w:rPr>
          <w:rStyle w:val="VerbatimChar"/>
        </w:rPr>
        <w:t xml:space="preserve">test_l402_payment</w:t>
      </w:r>
      <w:r>
        <w:t xml:space="preserve">; one small live payment is presented as confirmation that the path works. [5] The linked quickstart lists paying invoices, automatic micropayments to L402-protected APIs, and purchases from L402 stores as supported agent actions. [6] Strike is described as requiring no node infrastructure and supporting L402, with NWC wallets and self-hosted LND offered as alternatives. [6] The documentation also includes configurable approval tiers and per-payment and per-session limits. [6] This lowers the integration barrier for machine-to-service payments, but the live micro-payment is a capability check, not an adoption or demand metric.</w:t>
      </w:r>
    </w:p>
    <w:bookmarkEnd w:id="21"/>
    <w:bookmarkStart w:id="22" w:name="regulatory-landscape"/>
    <w:p>
      <w:pPr>
        <w:pStyle w:val="Heading2"/>
      </w:pPr>
      <w:r>
        <w:t xml:space="preserve">Regulatory Landscape</w:t>
      </w:r>
    </w:p>
    <w:p>
      <w:pPr>
        <w:pStyle w:val="FirstParagraph"/>
      </w:pPr>
      <w:r>
        <w:rPr>
          <w:bCs/>
          <w:b/>
        </w:rPr>
        <w:t xml:space="preserve">No qualifying regulatory change.</w:t>
      </w:r>
      <w:r>
        <w:t xml:space="preserve"> </w:t>
      </w:r>
      <w:r>
        <w:t xml:space="preserve">The grounded payment material reviewed for this brief is operational rather than legal—merchant endpoints, a Fedi purchase and payment-acceptance tooling. [7, 1] No source-stated legal-tender, licensing, taxation or transaction-rule change was identified for inclusion.</w:t>
      </w:r>
    </w:p>
    <w:bookmarkEnd w:id="22"/>
    <w:bookmarkStart w:id="23" w:name="usage-metrics"/>
    <w:p>
      <w:pPr>
        <w:pStyle w:val="Heading2"/>
      </w:pPr>
      <w:r>
        <w:t xml:space="preserve">Usage Metrics</w:t>
      </w:r>
    </w:p>
    <w:p>
      <w:pPr>
        <w:pStyle w:val="FirstParagraph"/>
      </w:pPr>
      <w:r>
        <w:t xml:space="preserve">The period’s measurable signals are heterogeneous: a few payment anecdotes, wallet-education examples, merchant endpoints and a technical benchmark. They do not form a comparable adoption series.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Geography or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Reported measure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indicates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Location not stated — BTC Shule/Fedi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reported biscuit purchase using Bitcoin sats at BTCMap merchant 26331. [7]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completed retail-payment anecdote; no amount, frequency or repeat-use rate.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Location not stated — surf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user reported making a first Bitcoin payment there in 18 months. [8]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individual usage-frequency signal, not a population measure.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Location not stated — Richland General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Children are said to have learned to pay with a Lightning wallet. [9]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Household usability and education; no child, merchant or transaction count.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Location not stated — grassroots merchant posts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posts provide actionable endpoints for a Zap merchant, Blink merchants and BTCMap listings at several named businesses. [10, 11, 12, 13, 14]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discoverability and supply-side activity, not aggregate merchant adoption.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Lightning protocol — Iceberg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threshold group tolerating one corrupted member is reported at more than 93% of unmodified-endpoint payment throughput. [4]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cryptographic performance benchmark, not settled payment volume.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Agentic Lightning — Lightning Enable MCP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small live payment is used to confirm the payment path. [5]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test signal, not agent-payment demand or network throughput.</w:t>
            </w:r>
          </w:p>
        </w:tc>
      </w:tr>
    </w:tbl>
    <w:p>
      <w:pPr>
        <w:pStyle w:val="BodyText"/>
      </w:pPr>
      <w:r>
        <w:t xml:space="preserve">No current item supplies a comparable total transaction count, settled value, merchant total or repeat-use rate.</w:t>
      </w:r>
    </w:p>
    <w:bookmarkEnd w:id="23"/>
    <w:bookmarkStart w:id="24" w:name="emerging-markets"/>
    <w:p>
      <w:pPr>
        <w:pStyle w:val="Heading2"/>
      </w:pPr>
      <w:r>
        <w:t xml:space="preserve">Emerging Markets</w:t>
      </w:r>
    </w:p>
    <w:p>
      <w:pPr>
        <w:pStyle w:val="FirstParagraph"/>
      </w:pPr>
      <w:r>
        <w:rPr>
          <w:bCs/>
          <w:b/>
        </w:rPr>
        <w:t xml:space="preserve">Location is not stated in most of the source posts, but the grassroots distribution pattern is clear.</w:t>
      </w:r>
      <w:r>
        <w:t xml:space="preserve"> </w:t>
      </w:r>
      <w:r>
        <w:t xml:space="preserve">Bitcoin Chama pairs an</w:t>
      </w:r>
      <w:r>
        <w:t xml:space="preserve"> </w:t>
      </w:r>
      <w:r>
        <w:t xml:space="preserve">“</w:t>
      </w:r>
      <w:r>
        <w:t xml:space="preserve">everyday money</w:t>
      </w:r>
      <w:r>
        <w:t xml:space="preserve">”</w:t>
      </w:r>
      <w:r>
        <w:t xml:space="preserve"> </w:t>
      </w:r>
      <w:r>
        <w:t xml:space="preserve">message with a Zap merchant address and BTCMap location. [10] Bitcoin Dua combines a circular-economy message with a Blink merchant address and map listing. [11] BitFitness adds the instruction</w:t>
      </w:r>
      <w:r>
        <w:t xml:space="preserve"> </w:t>
      </w:r>
      <w:r>
        <w:t xml:space="preserve">“</w:t>
      </w:r>
      <w:r>
        <w:t xml:space="preserve">Spend sats where you live</w:t>
      </w:r>
      <w:r>
        <w:t xml:space="preserve">”</w:t>
      </w:r>
      <w:r>
        <w:t xml:space="preserve"> </w:t>
      </w:r>
      <w:r>
        <w:t xml:space="preserve">to a Blink address and BTCMap listing, while Bitcoin Victoria Falls posts a Blink merchant and the line</w:t>
      </w:r>
      <w:r>
        <w:t xml:space="preserve"> </w:t>
      </w:r>
      <w:r>
        <w:t xml:space="preserve">“</w:t>
      </w:r>
      <w:r>
        <w:t xml:space="preserve">Money must be used.</w:t>
      </w:r>
      <w:r>
        <w:t xml:space="preserve">”</w:t>
      </w:r>
      <w:r>
        <w:t xml:space="preserve"> </w:t>
      </w:r>
      <w:r>
        <w:t xml:space="preserve">[12, 14] Bitcoin Aves likewise advertises sats for an extension socket at Speare Electricals with a Lightning address and map entry. [13]</w:t>
      </w:r>
    </w:p>
    <w:p>
      <w:pPr>
        <w:pStyle w:val="BodyText"/>
      </w:pPr>
      <w:r>
        <w:t xml:space="preserve">The emerging-market signal is therefore a low-cost acceptance loop—named paycode, map discoverability and an explicit reason to spend—rather than a reported market share. Education is part of that loop: the Fedi biscuit purchase and the Richland child-wallet example place Bitcoin payments in ordinary household contexts. [7, 9] Because the posts do not identify most merchant locations or provide settlement data, they should not be converted into country-level adoption rates.</w:t>
      </w:r>
    </w:p>
    <w:bookmarkEnd w:id="24"/>
    <w:bookmarkStart w:id="40" w:name="adoption-outlook"/>
    <w:p>
      <w:pPr>
        <w:pStyle w:val="Heading2"/>
      </w:pPr>
      <w:r>
        <w:t xml:space="preserve">Adoption Outlook</w:t>
      </w:r>
    </w:p>
    <w:p>
      <w:pPr>
        <w:pStyle w:val="FirstParagraph"/>
      </w:pPr>
      <w:r>
        <w:t xml:space="preserve">The payment stack is advancing on three fronts: Aruba is lowering the advertised cost and custody barrier to acceptance, Iceberg targets resilience of Lightning signing keys without channel-counterparty changes, and Lightning Enable is turning L402 and invoice payment into an agent workflow with spend controls. [1, 4, 6]</w:t>
      </w:r>
    </w:p>
    <w:p>
      <w:pPr>
        <w:pStyle w:val="BodyText"/>
      </w:pPr>
      <w:r>
        <w:t xml:space="preserve">The demand-side evidence remains local and anecdotal: one biscuit purchase, one reported 18-month gap between surf-shop payments, a household Lightning-wallet workflow and a growing set of paycode/map listings. [7, 8, 9, 12] The defensible read is improving payment infrastructure and usability, not yet scaled or sustained demand.</w:t>
      </w:r>
    </w:p>
    <w:p>
      <w:r>
        <w:pict>
          <v:rect style="width:0;height:1.5pt" o:hralign="center" o:hrstd="t" o:hr="t"/>
        </w:pict>
      </w:r>
    </w:p>
    <w:bookmarkStart w:id="3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Accept Bitcoin Payments with Zero Fees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@JoeNakamoto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@jesseposner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Enabling Threshold Custody for the Lightning Network with Nested Threshold Multi-Signatures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@lightningenable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MCP Quick Start | Lightning Enable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@btcshule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@JoeNakamoto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@BitBiashara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@Bitcoinchama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@bitcoin_dua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@BitFitness21M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@bitcoin_aves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@BitcoinVicFalls</w:t>
        </w:r>
      </w:hyperlink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btc.aw/" TargetMode="External" /><Relationship Type="http://schemas.openxmlformats.org/officeDocument/2006/relationships/hyperlink" Id="rId30" Target="https://docs.lightningenable.com/products/agentic-commerce/mcp-quickstart" TargetMode="External" /><Relationship Type="http://schemas.openxmlformats.org/officeDocument/2006/relationships/hyperlink" Id="rId28" Target="https://eprint.iacr.org/2026/1757" TargetMode="External" /><Relationship Type="http://schemas.openxmlformats.org/officeDocument/2006/relationships/hyperlink" Id="rId33" Target="https://x.com/BitBiashara/status/2091234193510650182" TargetMode="External" /><Relationship Type="http://schemas.openxmlformats.org/officeDocument/2006/relationships/hyperlink" Id="rId36" Target="https://x.com/BitFitness21M/status/2091160395394290001" TargetMode="External" /><Relationship Type="http://schemas.openxmlformats.org/officeDocument/2006/relationships/hyperlink" Id="rId38" Target="https://x.com/BitcoinVicFalls/status/2091277713981968527" TargetMode="External" /><Relationship Type="http://schemas.openxmlformats.org/officeDocument/2006/relationships/hyperlink" Id="rId34" Target="https://x.com/Bitcoinchama/status/2091038337033265165" TargetMode="External" /><Relationship Type="http://schemas.openxmlformats.org/officeDocument/2006/relationships/hyperlink" Id="rId32" Target="https://x.com/JoeNakamoto/status/2091143959850471891" TargetMode="External" /><Relationship Type="http://schemas.openxmlformats.org/officeDocument/2006/relationships/hyperlink" Id="rId26" Target="https://x.com/JoeNakamoto/status/2091275216081006937" TargetMode="External" /><Relationship Type="http://schemas.openxmlformats.org/officeDocument/2006/relationships/hyperlink" Id="rId37" Target="https://x.com/bitcoin_aves/status/2091223238638436659" TargetMode="External" /><Relationship Type="http://schemas.openxmlformats.org/officeDocument/2006/relationships/hyperlink" Id="rId35" Target="https://x.com/bitcoin_dua/status/2091140943504175410" TargetMode="External" /><Relationship Type="http://schemas.openxmlformats.org/officeDocument/2006/relationships/hyperlink" Id="rId31" Target="https://x.com/btcshule/status/2091251715894817248" TargetMode="External" /><Relationship Type="http://schemas.openxmlformats.org/officeDocument/2006/relationships/hyperlink" Id="rId27" Target="https://x.com/jesseposner/status/2091078242140852392" TargetMode="External" /><Relationship Type="http://schemas.openxmlformats.org/officeDocument/2006/relationships/hyperlink" Id="rId29" Target="https://x.com/lightningenable/status/20912081830961810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tc.aw/" TargetMode="External" /><Relationship Type="http://schemas.openxmlformats.org/officeDocument/2006/relationships/hyperlink" Id="rId30" Target="https://docs.lightningenable.com/products/agentic-commerce/mcp-quickstart" TargetMode="External" /><Relationship Type="http://schemas.openxmlformats.org/officeDocument/2006/relationships/hyperlink" Id="rId28" Target="https://eprint.iacr.org/2026/1757" TargetMode="External" /><Relationship Type="http://schemas.openxmlformats.org/officeDocument/2006/relationships/hyperlink" Id="rId33" Target="https://x.com/BitBiashara/status/2091234193510650182" TargetMode="External" /><Relationship Type="http://schemas.openxmlformats.org/officeDocument/2006/relationships/hyperlink" Id="rId36" Target="https://x.com/BitFitness21M/status/2091160395394290001" TargetMode="External" /><Relationship Type="http://schemas.openxmlformats.org/officeDocument/2006/relationships/hyperlink" Id="rId38" Target="https://x.com/BitcoinVicFalls/status/2091277713981968527" TargetMode="External" /><Relationship Type="http://schemas.openxmlformats.org/officeDocument/2006/relationships/hyperlink" Id="rId34" Target="https://x.com/Bitcoinchama/status/2091038337033265165" TargetMode="External" /><Relationship Type="http://schemas.openxmlformats.org/officeDocument/2006/relationships/hyperlink" Id="rId32" Target="https://x.com/JoeNakamoto/status/2091143959850471891" TargetMode="External" /><Relationship Type="http://schemas.openxmlformats.org/officeDocument/2006/relationships/hyperlink" Id="rId26" Target="https://x.com/JoeNakamoto/status/2091275216081006937" TargetMode="External" /><Relationship Type="http://schemas.openxmlformats.org/officeDocument/2006/relationships/hyperlink" Id="rId37" Target="https://x.com/bitcoin_aves/status/2091223238638436659" TargetMode="External" /><Relationship Type="http://schemas.openxmlformats.org/officeDocument/2006/relationships/hyperlink" Id="rId35" Target="https://x.com/bitcoin_dua/status/2091140943504175410" TargetMode="External" /><Relationship Type="http://schemas.openxmlformats.org/officeDocument/2006/relationships/hyperlink" Id="rId31" Target="https://x.com/btcshule/status/2091251715894817248" TargetMode="External" /><Relationship Type="http://schemas.openxmlformats.org/officeDocument/2006/relationships/hyperlink" Id="rId27" Target="https://x.com/jesseposner/status/2091078242140852392" TargetMode="External" /><Relationship Type="http://schemas.openxmlformats.org/officeDocument/2006/relationships/hyperlink" Id="rId29" Target="https://x.com/lightningenable/status/20912081830961810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Lightning Adds Threshold Custody and Agent-Payment Tooling as Grassroots Checkout Remains Unquantified</dc:title>
  <dc:creator>Bitcoin Payment Adoption Tracker</dc:creator>
  <cp:keywords/>
  <dcterms:created xsi:type="dcterms:W3CDTF">2026-08-25T07:20:37Z</dcterms:created>
  <dcterms:modified xsi:type="dcterms:W3CDTF">2026-08-25T07:20:37Z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2026-08-23</vt:lpwstr>
  </property>
</Properties>
</file>