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Lightning’s Boltz Dependency Surfaces as African Bitcoin Payment Rails Broaden</w:t>
      </w:r>
    </w:p>
    <w:p>
      <w:pPr>
        <w:pStyle w:val="Author"/>
      </w:pPr>
      <w:r>
        <w:t xml:space="preserve">Bitcoin Payment Adoption Tracker</w:t>
      </w:r>
    </w:p>
    <w:p>
      <w:pPr>
        <w:pStyle w:val="Date"/>
      </w:pPr>
      <w:r>
        <w:t xml:space="preserve">2026-08-05</w:t>
      </w:r>
    </w:p>
    <w:bookmarkStart w:id="44" w:name="X763afe2d4086469391d7df7108f40fba309256c"/>
    <w:p>
      <w:pPr>
        <w:pStyle w:val="Heading1"/>
      </w:pPr>
      <w:r>
        <w:t xml:space="preserve">Lightning’s Boltz Dependency Surfaces as African Bitcoin Payment Rails Broaden</w:t>
      </w:r>
    </w:p>
    <w:p>
      <w:pPr>
        <w:pStyle w:val="FirstParagraph"/>
      </w:pPr>
      <w:r>
        <w:rPr>
          <w:iCs/>
          <w:i/>
        </w:rPr>
        <w:t xml:space="preserve">By Bitcoin Payment Adoption Tracker • August 5, 2026</w:t>
      </w:r>
    </w:p>
    <w:p>
      <w:pPr>
        <w:pStyle w:val="BodyText"/>
      </w:pPr>
      <w:r>
        <w:t xml:space="preserve">The period combines a reported Boltz outage affecting multiple Lightning applications with concrete grocery, retail, community-payment and cross-border signals across African markets. Nigeria’s reported virtual-asset levy adds a direct conversion-cost headwind.</w:t>
      </w:r>
    </w:p>
    <w:bookmarkStart w:id="20" w:name="major-adoption-news"/>
    <w:p>
      <w:pPr>
        <w:pStyle w:val="Heading2"/>
      </w:pPr>
      <w:r>
        <w:t xml:space="preserve">Major Adoption News</w:t>
      </w:r>
    </w:p>
    <w:p>
      <w:pPr>
        <w:pStyle w:val="FirstParagraph"/>
      </w:pPr>
      <w:r>
        <w:rPr>
          <w:bCs/>
          <w:b/>
        </w:rPr>
        <w:t xml:space="preserve">Calabar, Nigeria — a reported grocery transaction is paired with a named Lightning endpoint.</w:t>
      </w:r>
      <w:r>
        <w:t xml:space="preserve"> </w:t>
      </w:r>
      <w:r>
        <w:t xml:space="preserve">BitcoinCalabar posted an</w:t>
      </w:r>
      <w:r>
        <w:t xml:space="preserve"> </w:t>
      </w:r>
      <w:r>
        <w:t xml:space="preserve">“</w:t>
      </w:r>
      <w:r>
        <w:t xml:space="preserve">everyday bitcoin transaction for groceries,</w:t>
      </w:r>
      <w:r>
        <w:t xml:space="preserve">”</w:t>
      </w:r>
      <w:r>
        <w:t xml:space="preserve"> </w:t>
      </w:r>
      <w:r>
        <w:t xml:space="preserve">identified the merchant as</w:t>
      </w:r>
      <w:r>
        <w:t xml:space="preserve"> </w:t>
      </w:r>
      <w:r>
        <w:rPr>
          <w:rStyle w:val="VerbatimChar"/>
        </w:rPr>
        <w:t xml:space="preserve">zerolimit@blink.sv</w:t>
      </w:r>
      <w:r>
        <w:t xml:space="preserve">, linked BTC Map merchant 39740, and included a payment video. [1] The linked record identifies</w:t>
      </w:r>
      <w:r>
        <w:t xml:space="preserve"> </w:t>
      </w:r>
      <w:r>
        <w:rPr>
          <w:bCs/>
          <w:b/>
        </w:rPr>
        <w:t xml:space="preserve">Unical Groceries</w:t>
      </w:r>
      <w:r>
        <w:t xml:space="preserve"> </w:t>
      </w:r>
      <w:r>
        <w:t xml:space="preserve">in Calabar and shows Lightning acceptance. [2] This is concrete transaction evidence, but not a usage-rate measure: the post gives no payment amount or repeat-use figure.</w:t>
      </w:r>
    </w:p>
    <w:p>
      <w:pPr>
        <w:pStyle w:val="BodyText"/>
      </w:pPr>
      <w:r>
        <w:rPr>
          <w:bCs/>
          <w:b/>
        </w:rPr>
        <w:t xml:space="preserve">Winteko — a low-ticket snack payment adds another item-level example.</w:t>
      </w:r>
      <w:r>
        <w:t xml:space="preserve"> </w:t>
      </w:r>
      <w:r>
        <w:t xml:space="preserve">BTC Shule described</w:t>
      </w:r>
      <w:r>
        <w:t xml:space="preserve"> </w:t>
      </w:r>
      <w:r>
        <w:t xml:space="preserve">“</w:t>
      </w:r>
      <w:r>
        <w:t xml:space="preserve">a local snack</w:t>
      </w:r>
      <w:r>
        <w:t xml:space="preserve">”</w:t>
      </w:r>
      <w:r>
        <w:t xml:space="preserve"> </w:t>
      </w:r>
      <w:r>
        <w:t xml:space="preserve">paid through an instant Bitcoin payment, supplied a Blink address and framed the transaction as everyday adoption with Fedi. [3] BTC Map identifies the linked venue as</w:t>
      </w:r>
      <w:r>
        <w:t xml:space="preserve"> </w:t>
      </w:r>
      <w:r>
        <w:rPr>
          <w:bCs/>
          <w:b/>
        </w:rPr>
        <w:t xml:space="preserve">Kwa Jiyeve</w:t>
      </w:r>
      <w:r>
        <w:t xml:space="preserve"> </w:t>
      </w:r>
      <w:r>
        <w:t xml:space="preserve">in Winteko and lists a Lightning marker; the record associates it with BTC Shule. [4]</w:t>
      </w:r>
    </w:p>
    <w:p>
      <w:pPr>
        <w:pStyle w:val="BodyText"/>
      </w:pPr>
      <w:r>
        <w:rPr>
          <w:bCs/>
          <w:b/>
        </w:rPr>
        <w:t xml:space="preserve">Masimba — Bitcoin Chama is pairing merchant discovery with internal labor payments.</w:t>
      </w:r>
      <w:r>
        <w:t xml:space="preserve"> </w:t>
      </w:r>
      <w:r>
        <w:t xml:space="preserve">The community promoted</w:t>
      </w:r>
      <w:r>
        <w:t xml:space="preserve"> </w:t>
      </w:r>
      <w:r>
        <w:rPr>
          <w:rStyle w:val="VerbatimChar"/>
        </w:rPr>
        <w:t xml:space="preserve">meshack100@blink.sv</w:t>
      </w:r>
      <w:r>
        <w:t xml:space="preserve"> </w:t>
      </w:r>
      <w:r>
        <w:t xml:space="preserve">as a Zap merchant; BTC Map identifies</w:t>
      </w:r>
      <w:r>
        <w:t xml:space="preserve"> </w:t>
      </w:r>
      <w:r>
        <w:rPr>
          <w:bCs/>
          <w:b/>
        </w:rPr>
        <w:t xml:space="preserve">Dama shop</w:t>
      </w:r>
      <w:r>
        <w:t xml:space="preserve"> </w:t>
      </w:r>
      <w:r>
        <w:t xml:space="preserve">in Masimba, lists both Lightning and Bitcoin markers, and associates the listing with Bitcoin Chama. [5, 6] Separately, the account said members were rewarded with sats for a second round of farm weeding and described the activity as part of a self-reliant Bitcoin circular economy. [7] The merchant record is an acceptance listing; the farm update is a reported community payment, and neither states an amount.</w:t>
      </w:r>
    </w:p>
    <w:p>
      <w:pPr>
        <w:pStyle w:val="BodyText"/>
      </w:pPr>
      <w:r>
        <w:t xml:space="preserve">A fourth current listing gives the same pattern at</w:t>
      </w:r>
      <w:r>
        <w:t xml:space="preserve"> </w:t>
      </w:r>
      <w:r>
        <w:rPr>
          <w:bCs/>
          <w:b/>
        </w:rPr>
        <w:t xml:space="preserve">Ehie Road</w:t>
      </w:r>
      <w:r>
        <w:t xml:space="preserve">: Bitcoin Dua promoted</w:t>
      </w:r>
      <w:r>
        <w:t xml:space="preserve"> </w:t>
      </w:r>
      <w:r>
        <w:rPr>
          <w:rStyle w:val="VerbatimChar"/>
        </w:rPr>
        <w:t xml:space="preserve">gloriaagbe@blink.sv</w:t>
      </w:r>
      <w:r>
        <w:t xml:space="preserve">, while BTC Map identifies</w:t>
      </w:r>
      <w:r>
        <w:t xml:space="preserve"> </w:t>
      </w:r>
      <w:r>
        <w:rPr>
          <w:bCs/>
          <w:b/>
        </w:rPr>
        <w:t xml:space="preserve">Mawulorm Special Drinks</w:t>
      </w:r>
      <w:r>
        <w:t xml:space="preserve"> </w:t>
      </w:r>
      <w:r>
        <w:t xml:space="preserve">and lists Lightning, Bitcoin and contactless acceptance. [8, 9] This is a discoverable merchant endpoint, not a reported completed transaction.</w:t>
      </w:r>
    </w:p>
    <w:bookmarkEnd w:id="20"/>
    <w:bookmarkStart w:id="21" w:name="payment-infrastructure"/>
    <w:p>
      <w:pPr>
        <w:pStyle w:val="Heading2"/>
      </w:pPr>
      <w:r>
        <w:t xml:space="preserve">Payment Infrastructure</w:t>
      </w:r>
    </w:p>
    <w:p>
      <w:pPr>
        <w:pStyle w:val="FirstParagraph"/>
      </w:pPr>
      <w:r>
        <w:rPr>
          <w:bCs/>
          <w:b/>
        </w:rPr>
        <w:t xml:space="preserve">Banxaas has a defined West-to-East payment corridor.</w:t>
      </w:r>
      <w:r>
        <w:t xml:space="preserve"> </w:t>
      </w:r>
      <w:r>
        <w:t xml:space="preserve">Banxaas says its live service can send to Kenya and Tanzania using sats or fiat from Senegal, Ivory Coast, Cameroon and Guinea. [10] A user described the route as working</w:t>
      </w:r>
      <w:r>
        <w:t xml:space="preserve"> </w:t>
      </w:r>
      <w:r>
        <w:t xml:space="preserve">“</w:t>
      </w:r>
      <w:r>
        <w:t xml:space="preserve">West-to-East.</w:t>
      </w:r>
      <w:r>
        <w:t xml:space="preserve">”</w:t>
      </w:r>
      <w:r>
        <w:t xml:space="preserve"> </w:t>
      </w:r>
      <w:r>
        <w:t xml:space="preserve">[11] The feature therefore spans four named origin markets and two destinations, but the posts supply no throughput, settlement-time or transaction-count data.</w:t>
      </w:r>
    </w:p>
    <w:p>
      <w:pPr>
        <w:pStyle w:val="BodyText"/>
      </w:pPr>
      <w:r>
        <w:rPr>
          <w:bCs/>
          <w:b/>
        </w:rPr>
        <w:t xml:space="preserve">Tando’s value proposition is reduced local-currency conversion friction.</w:t>
      </w:r>
      <w:r>
        <w:t xml:space="preserve"> </w:t>
      </w:r>
      <w:r>
        <w:t xml:space="preserve">A testimonial republished by Tando says the service avoids much of the headache of converting Bitcoin to local currency and offers</w:t>
      </w:r>
      <w:r>
        <w:t xml:space="preserve"> </w:t>
      </w:r>
      <w:r>
        <w:t xml:space="preserve">“</w:t>
      </w:r>
      <w:r>
        <w:t xml:space="preserve">no exchange rates, no nonsense.</w:t>
      </w:r>
      <w:r>
        <w:t xml:space="preserve">”</w:t>
      </w:r>
      <w:r>
        <w:t xml:space="preserve"> </w:t>
      </w:r>
      <w:r>
        <w:t xml:space="preserve">[12] That is evidence of perceived user friction reduction, not an independently measured volume or performance result.</w:t>
      </w:r>
    </w:p>
    <w:p>
      <w:pPr>
        <w:pStyle w:val="BodyText"/>
      </w:pPr>
      <w:r>
        <w:rPr>
          <w:bCs/>
          <w:b/>
        </w:rPr>
        <w:t xml:space="preserve">The Boltz outage remains a concentrated Lightning availability risk.</w:t>
      </w:r>
      <w:r>
        <w:t xml:space="preserve"> </w:t>
      </w:r>
      <w:r>
        <w:t xml:space="preserve">Callebtc said Boltz Lightning going offline took Lightning service in Aqua, Bull Bitcoin, Blockstream Wallet and Arkade with it. [13] Ndeet called Boltz a single point of failure while also describing it as one of the easiest ways to onboard merchants to Lightning, and suggested that better-resourced operators create clones. [14] The trade-off is specific: a shared swap service can lower merchant-onboarding friction while creating correlated outages across payment applications.</w:t>
      </w:r>
    </w:p>
    <w:p>
      <w:pPr>
        <w:pStyle w:val="BodyText"/>
      </w:pPr>
      <w:r>
        <w:rPr>
          <w:bCs/>
          <w:b/>
        </w:rPr>
        <w:t xml:space="preserve">Security review is expanding across payment-adjacent code.</w:t>
      </w:r>
      <w:r>
        <w:t xml:space="preserve"> </w:t>
      </w:r>
      <w:r>
        <w:t xml:space="preserve">A Bitcoin Red Team update reported more than a dozen disclosures and 150 repositories scanned after roughly $20,000 of spending, with an intended open-source harness for scanning internal repositories. [15] Callebtc separately said reviews were targeting crypto libraries, wallets and infrastructure, claimed several critical vulnerabilities had been reported in the prior 12 hours, and described the campaign as costing about $10,000 per day. [16] These are campaign self-reports rather than an ecosystem-wide vulnerability statistic, but they represent a hardening effort relevant to the reliability of wallets and payment infrastructure—not a shipped payment feature.</w:t>
      </w:r>
    </w:p>
    <w:bookmarkEnd w:id="21"/>
    <w:bookmarkStart w:id="22" w:name="regulatory-landscape"/>
    <w:p>
      <w:pPr>
        <w:pStyle w:val="Heading2"/>
      </w:pPr>
      <w:r>
        <w:t xml:space="preserve">Regulatory Landscape</w:t>
      </w:r>
    </w:p>
    <w:p>
      <w:pPr>
        <w:pStyle w:val="FirstParagraph"/>
      </w:pPr>
      <w:r>
        <w:rPr>
          <w:bCs/>
          <w:b/>
        </w:rPr>
        <w:t xml:space="preserve">Nigeria — a reported virtual-asset levy would raise the cost of Bitcoin conversion.</w:t>
      </w:r>
      <w:r>
        <w:t xml:space="preserve"> </w:t>
      </w:r>
      <w:r>
        <w:t xml:space="preserve">A Calabar Bitcoin Club post says the new NRS Guidelines take 1.5% whenever users convert naira into Bitcoin or back into naira, with the duty deducted from the tokens by the platform rather than paid separately in naira. It calculates a round trip as costing more than 3% before exchange fees or market movement, and says eNaira is exempt. [17] If applied as described, the rule puts a direct cost on the fiat entry and exit points that many everyday Bitcoin users still need. The current admitted source is an account’s description of the guidelines, so the rate and scope should be treated as a reported regulatory signal rather than an independently verified final interpretation.</w:t>
      </w:r>
    </w:p>
    <w:bookmarkEnd w:id="22"/>
    <w:bookmarkStart w:id="23" w:name="usage-metrics"/>
    <w:p>
      <w:pPr>
        <w:pStyle w:val="Heading2"/>
      </w:pPr>
      <w:r>
        <w:t xml:space="preserve">Usage Metrics</w:t>
      </w:r>
    </w:p>
    <w:p>
      <w:pPr>
        <w:pStyle w:val="FirstParagraph"/>
      </w:pPr>
      <w:r>
        <w:t xml:space="preserve">The current evidence is transaction-level and corridor-level, not network-level:</w:t>
      </w:r>
    </w:p>
    <w:p>
      <w:pPr>
        <w:numPr>
          <w:ilvl w:val="0"/>
          <w:numId w:val="1001"/>
        </w:numPr>
        <w:pStyle w:val="Compact"/>
      </w:pPr>
      <w:r>
        <w:t xml:space="preserve">The Calabar and Winteko posts each describe a single low-value consumer payment, but give no sat or fiat amount. [1, 3]</w:t>
      </w:r>
    </w:p>
    <w:p>
      <w:pPr>
        <w:numPr>
          <w:ilvl w:val="0"/>
          <w:numId w:val="1001"/>
        </w:numPr>
        <w:pStyle w:val="Compact"/>
      </w:pPr>
      <w:r>
        <w:t xml:space="preserve">Bitcoin Chama reports paying members in sats for farm work, without stating the amount or number of participants. [7]</w:t>
      </w:r>
    </w:p>
    <w:p>
      <w:pPr>
        <w:numPr>
          <w:ilvl w:val="0"/>
          <w:numId w:val="1001"/>
        </w:numPr>
        <w:pStyle w:val="Compact"/>
      </w:pPr>
      <w:r>
        <w:t xml:space="preserve">Banxaas names four origin countries and two destination countries, but no flow volume or growth rate. [10]</w:t>
      </w:r>
    </w:p>
    <w:p>
      <w:pPr>
        <w:numPr>
          <w:ilvl w:val="0"/>
          <w:numId w:val="1001"/>
        </w:numPr>
        <w:pStyle w:val="Compact"/>
      </w:pPr>
      <w:r>
        <w:t xml:space="preserve">The only clear numeric usage cost is the Nigerian post’s claimed 1.5% charge per conversion and more-than-3% round-trip burden. [17]</w:t>
      </w:r>
    </w:p>
    <w:p>
      <w:pPr>
        <w:pStyle w:val="FirstParagraph"/>
      </w:pPr>
      <w:r>
        <w:t xml:space="preserve">These sources do not support a defensible aggregate transaction count, sat-volume estimate, merchant-growth rate or repeat-use rate for the period.</w:t>
      </w:r>
    </w:p>
    <w:bookmarkEnd w:id="23"/>
    <w:bookmarkStart w:id="24" w:name="emerging-markets"/>
    <w:p>
      <w:pPr>
        <w:pStyle w:val="Heading2"/>
      </w:pPr>
      <w:r>
        <w:t xml:space="preserve">Emerging Markets</w:t>
      </w:r>
    </w:p>
    <w:p>
      <w:pPr>
        <w:pStyle w:val="FirstParagraph"/>
      </w:pPr>
      <w:r>
        <w:t xml:space="preserve">The strongest emerging-market signal is breadth of use cases rather than measured scale. Current posts put Bitcoin into grocery retail in Calabar, snack spending in Winteko, mapped retail and drinks endpoints in Masimba and on Ehie Road, community farm labor, and a cross-border route linking West African funding markets with Kenya and Tanzania. [1, 3, 6, 9, 10] The implementation pattern is local and lightweight—Blink addresses, BTC Map discovery, Fedi involvement and sats settlement—rather than a single dominant point-of-sale model. [5, 3, 7]</w:t>
      </w:r>
    </w:p>
    <w:bookmarkEnd w:id="24"/>
    <w:bookmarkStart w:id="43" w:name="adoption-outlook"/>
    <w:p>
      <w:pPr>
        <w:pStyle w:val="Heading2"/>
      </w:pPr>
      <w:r>
        <w:t xml:space="preserve">Adoption Outlook</w:t>
      </w:r>
    </w:p>
    <w:p>
      <w:pPr>
        <w:pStyle w:val="FirstParagraph"/>
      </w:pPr>
      <w:r>
        <w:t xml:space="preserve">Payment use is becoming more concrete at the edge: the period contains reported grocery and snack payments, a community labor-payment loop and a multi-country transfer corridor. [1, 3, 7, 10] The limiting signals are equally concrete: a reported Boltz dependency propagated into several Lightning applications, while Nigeria’s reported levy would make conversion into and out of Bitcoin more expensive. [13, 17] Near-term payment viability will be better indicated by diversified backend providers and repeatable volume data than by the growing number of isolated merchant endpoints.</w:t>
      </w:r>
    </w:p>
    <w:p>
      <w:r>
        <w:pict>
          <v:rect style="width:0;height:1.5pt" o:hralign="center" o:hrstd="t" o:hr="t"/>
        </w:pict>
      </w:r>
    </w:p>
    <w:bookmarkStart w:id="42" w:name="sources"/>
    <w:p>
      <w:pPr>
        <w:pStyle w:val="Heading3"/>
      </w:pPr>
      <w:r>
        <w:t xml:space="preserve">Sources</w:t>
      </w:r>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@BitcoinCalabar</w:t>
        </w:r>
      </w:hyperlink>
    </w:p>
    <w:p>
      <w:pPr>
        <w:numPr>
          <w:ilvl w:val="0"/>
          <w:numId w:val="1002"/>
        </w:numPr>
        <w:pStyle w:val="Compact"/>
      </w:pPr>
      <w:hyperlink r:id="rId26">
        <w:r>
          <w:rPr>
            <w:rStyle w:val="Hyperlink"/>
          </w:rPr>
          <w:t xml:space="preserve">Unical Groceries - BTC Map</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@btcshule</w:t>
        </w:r>
      </w:hyperlink>
    </w:p>
    <w:p>
      <w:pPr>
        <w:numPr>
          <w:ilvl w:val="0"/>
          <w:numId w:val="1002"/>
        </w:numPr>
        <w:pStyle w:val="Compact"/>
      </w:pPr>
      <w:hyperlink r:id="rId28">
        <w:r>
          <w:rPr>
            <w:rStyle w:val="Hyperlink"/>
          </w:rPr>
          <w:t xml:space="preserve">Kwa Jiyeve - BTC Map</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@Bitcoinchama</w:t>
        </w:r>
      </w:hyperlink>
    </w:p>
    <w:p>
      <w:pPr>
        <w:numPr>
          <w:ilvl w:val="0"/>
          <w:numId w:val="1002"/>
        </w:numPr>
        <w:pStyle w:val="Compact"/>
      </w:pPr>
      <w:hyperlink r:id="rId30">
        <w:r>
          <w:rPr>
            <w:rStyle w:val="Hyperlink"/>
          </w:rPr>
          <w:t xml:space="preserve">Dama shop - BTC Map</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@Bitcoinchama</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@bitcoin_dua</w:t>
        </w:r>
      </w:hyperlink>
    </w:p>
    <w:p>
      <w:pPr>
        <w:numPr>
          <w:ilvl w:val="0"/>
          <w:numId w:val="1002"/>
        </w:numPr>
        <w:pStyle w:val="Compact"/>
      </w:pPr>
      <w:hyperlink r:id="rId33">
        <w:r>
          <w:rPr>
            <w:rStyle w:val="Hyperlink"/>
          </w:rPr>
          <w:t xml:space="preserve">Mawulorm Special Drinks - BTC Map</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@banxaas_sn</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@Dannitez</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@tando_me</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@callebtc</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@ndeet</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@Rob1Ham</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@callebtc</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@BitcoinCalabar</w:t>
        </w:r>
      </w:hyperlink>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btcmap.org/merchant/26332" TargetMode="External" /><Relationship Type="http://schemas.openxmlformats.org/officeDocument/2006/relationships/hyperlink" Id="rId30" Target="http://btcmap.org/merchant/40153" TargetMode="External" /><Relationship Type="http://schemas.openxmlformats.org/officeDocument/2006/relationships/hyperlink" Id="rId33" Target="https://btcmap.org/merchant/36661" TargetMode="External" /><Relationship Type="http://schemas.openxmlformats.org/officeDocument/2006/relationships/hyperlink" Id="rId26" Target="https://btcmap.org/merchant/39740" TargetMode="External" /><Relationship Type="http://schemas.openxmlformats.org/officeDocument/2006/relationships/hyperlink" Id="rId25" Target="https://x.com/BitcoinCalabar/status/2084548728652714369" TargetMode="External" /><Relationship Type="http://schemas.openxmlformats.org/officeDocument/2006/relationships/hyperlink" Id="rId41" Target="https://x.com/BitcoinCalabar/status/2084627274855297284" TargetMode="External" /><Relationship Type="http://schemas.openxmlformats.org/officeDocument/2006/relationships/hyperlink" Id="rId29" Target="https://x.com/Bitcoinchama/status/2084519469649363148" TargetMode="External" /><Relationship Type="http://schemas.openxmlformats.org/officeDocument/2006/relationships/hyperlink" Id="rId31" Target="https://x.com/Bitcoinchama/status/2084593925856088284" TargetMode="External" /><Relationship Type="http://schemas.openxmlformats.org/officeDocument/2006/relationships/hyperlink" Id="rId35" Target="https://x.com/Dannitez/status/2084593152560714057" TargetMode="External" /><Relationship Type="http://schemas.openxmlformats.org/officeDocument/2006/relationships/hyperlink" Id="rId39" Target="https://x.com/Rob1Ham/status/2084523368783438198" TargetMode="External" /><Relationship Type="http://schemas.openxmlformats.org/officeDocument/2006/relationships/hyperlink" Id="rId34" Target="https://x.com/banxaas_sn/status/2084602036515938552" TargetMode="External" /><Relationship Type="http://schemas.openxmlformats.org/officeDocument/2006/relationships/hyperlink" Id="rId32" Target="https://x.com/bitcoin_dua/status/2084625014582558772" TargetMode="External" /><Relationship Type="http://schemas.openxmlformats.org/officeDocument/2006/relationships/hyperlink" Id="rId27" Target="https://x.com/btcshule/status/2084707287571025924" TargetMode="External" /><Relationship Type="http://schemas.openxmlformats.org/officeDocument/2006/relationships/hyperlink" Id="rId40" Target="https://x.com/callebtc/status/2084561246305542617" TargetMode="External" /><Relationship Type="http://schemas.openxmlformats.org/officeDocument/2006/relationships/hyperlink" Id="rId37" Target="https://x.com/callebtc/status/2084811772335145049" TargetMode="External" /><Relationship Type="http://schemas.openxmlformats.org/officeDocument/2006/relationships/hyperlink" Id="rId38" Target="https://x.com/ndeet/status/2084644532977566130" TargetMode="External" /><Relationship Type="http://schemas.openxmlformats.org/officeDocument/2006/relationships/hyperlink" Id="rId36" Target="https://x.com/tando_me/status/2084669816447611382" TargetMode="External" /></Relationships>
</file>

<file path=word/_rels/footnotes.xml.rels><?xml version="1.0" encoding="UTF-8"?><Relationships xmlns="http://schemas.openxmlformats.org/package/2006/relationships"><Relationship Type="http://schemas.openxmlformats.org/officeDocument/2006/relationships/hyperlink" Id="rId28" Target="http://btcmap.org/merchant/26332" TargetMode="External" /><Relationship Type="http://schemas.openxmlformats.org/officeDocument/2006/relationships/hyperlink" Id="rId30" Target="http://btcmap.org/merchant/40153" TargetMode="External" /><Relationship Type="http://schemas.openxmlformats.org/officeDocument/2006/relationships/hyperlink" Id="rId33" Target="https://btcmap.org/merchant/36661" TargetMode="External" /><Relationship Type="http://schemas.openxmlformats.org/officeDocument/2006/relationships/hyperlink" Id="rId26" Target="https://btcmap.org/merchant/39740" TargetMode="External" /><Relationship Type="http://schemas.openxmlformats.org/officeDocument/2006/relationships/hyperlink" Id="rId25" Target="https://x.com/BitcoinCalabar/status/2084548728652714369" TargetMode="External" /><Relationship Type="http://schemas.openxmlformats.org/officeDocument/2006/relationships/hyperlink" Id="rId41" Target="https://x.com/BitcoinCalabar/status/2084627274855297284" TargetMode="External" /><Relationship Type="http://schemas.openxmlformats.org/officeDocument/2006/relationships/hyperlink" Id="rId29" Target="https://x.com/Bitcoinchama/status/2084519469649363148" TargetMode="External" /><Relationship Type="http://schemas.openxmlformats.org/officeDocument/2006/relationships/hyperlink" Id="rId31" Target="https://x.com/Bitcoinchama/status/2084593925856088284" TargetMode="External" /><Relationship Type="http://schemas.openxmlformats.org/officeDocument/2006/relationships/hyperlink" Id="rId35" Target="https://x.com/Dannitez/status/2084593152560714057" TargetMode="External" /><Relationship Type="http://schemas.openxmlformats.org/officeDocument/2006/relationships/hyperlink" Id="rId39" Target="https://x.com/Rob1Ham/status/2084523368783438198" TargetMode="External" /><Relationship Type="http://schemas.openxmlformats.org/officeDocument/2006/relationships/hyperlink" Id="rId34" Target="https://x.com/banxaas_sn/status/2084602036515938552" TargetMode="External" /><Relationship Type="http://schemas.openxmlformats.org/officeDocument/2006/relationships/hyperlink" Id="rId32" Target="https://x.com/bitcoin_dua/status/2084625014582558772" TargetMode="External" /><Relationship Type="http://schemas.openxmlformats.org/officeDocument/2006/relationships/hyperlink" Id="rId27" Target="https://x.com/btcshule/status/2084707287571025924" TargetMode="External" /><Relationship Type="http://schemas.openxmlformats.org/officeDocument/2006/relationships/hyperlink" Id="rId40" Target="https://x.com/callebtc/status/2084561246305542617" TargetMode="External" /><Relationship Type="http://schemas.openxmlformats.org/officeDocument/2006/relationships/hyperlink" Id="rId37" Target="https://x.com/callebtc/status/2084811772335145049" TargetMode="External" /><Relationship Type="http://schemas.openxmlformats.org/officeDocument/2006/relationships/hyperlink" Id="rId38" Target="https://x.com/ndeet/status/2084644532977566130" TargetMode="External" /><Relationship Type="http://schemas.openxmlformats.org/officeDocument/2006/relationships/hyperlink" Id="rId36" Target="https://x.com/tando_me/status/208466981644761138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Lightning’s Boltz Dependency Surfaces as African Bitcoin Payment Rails Broaden</dc:title>
  <dc:creator>Bitcoin Payment Adoption Tracker</dc:creator>
  <cp:keywords/>
  <dcterms:created xsi:type="dcterms:W3CDTF">2026-08-26T16:47:37Z</dcterms:created>
  <dcterms:modified xsi:type="dcterms:W3CDTF">2026-08-26T16:47:37Z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2026-08-05</vt:lpwstr>
  </property>
</Properties>
</file>