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LLM limits via Kolmogorov complexity, Vision Pro broadcast redesign, and a California wealth tax explainer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2026-03-07</w:t>
      </w:r>
    </w:p>
    <w:bookmarkStart w:id="50" w:name="X735107d8ed8f013927e5a836b9199d71d18d0dd"/>
    <w:p>
      <w:pPr>
        <w:pStyle w:val="Heading1"/>
      </w:pPr>
      <w:r>
        <w:t xml:space="preserve">LLM limits via Kolmogorov complexity, Vision Pro broadcast redesign, and a California wealth tax explainer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7, 2026</w:t>
      </w:r>
    </w:p>
    <w:p>
      <w:pPr>
        <w:pStyle w:val="BodyText"/>
      </w:pPr>
      <w:r>
        <w:t xml:space="preserve">Today’s organic recs cluster around first-principles thinking: a sharp information-theoretic lens on LLM limits (Casado), a</w:t>
      </w:r>
      <w:r>
        <w:t xml:space="preserve"> </w:t>
      </w:r>
      <w:r>
        <w:t xml:space="preserve">“</w:t>
      </w:r>
      <w:r>
        <w:t xml:space="preserve">rebuild the broadcast</w:t>
      </w:r>
      <w:r>
        <w:t xml:space="preserve">”</w:t>
      </w:r>
      <w:r>
        <w:t xml:space="preserve"> </w:t>
      </w:r>
      <w:r>
        <w:t xml:space="preserve">prompt for Vision Pro-era sports media (Tan), and a policy/econ article Paul Graham flags as clarifying on California’s proposed wealth tax.</w:t>
      </w:r>
    </w:p>
    <w:bookmarkStart w:id="28" w:name="Xce8d53e3f7e25c348eee6dd799d20f39750080b"/>
    <w:p>
      <w:pPr>
        <w:pStyle w:val="Heading2"/>
      </w:pPr>
      <w:r>
        <w:t xml:space="preserve">Most compelling recommendation: a crisp mental model for what LLMs</w:t>
      </w:r>
      <w:r>
        <w:t xml:space="preserve"> </w:t>
      </w:r>
      <w:r>
        <w:rPr>
          <w:iCs/>
          <w:i/>
        </w:rPr>
        <w:t xml:space="preserve">optimize</w:t>
      </w:r>
      <w:r>
        <w:t xml:space="preserve"> </w:t>
      </w:r>
      <w:r>
        <w:t xml:space="preserve">vs. what they struggle to do</w:t>
      </w:r>
    </w:p>
    <w:bookmarkStart w:id="27" w:name="Xd8a32b211b21fe67820f260c6fce9c97ebb4c95"/>
    <w:p>
      <w:pPr>
        <w:pStyle w:val="Heading3"/>
      </w:pPr>
      <w:r>
        <w:rPr>
          <w:iCs/>
          <w:i/>
        </w:rPr>
        <w:t xml:space="preserve">Shannon Got AI This Far, Kolmogorov Shows Where It Stops</w:t>
      </w:r>
      <w:r>
        <w:t xml:space="preserve"> </w:t>
      </w:r>
      <w:r>
        <w:t xml:space="preserve">— Vishal Misra (Medium article)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(Medium)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Vishal Misra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https://medium.com/</w:t>
      </w:r>
      <w:r>
        <w:t xml:space="preserve">@vishalmisra/shannon-got-ai-this-far-kolmogorov-shows-where-it-stops-c81825f89ca0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Martin Casado (</w:t>
      </w:r>
      <w:r>
        <w:t xml:space="preserve">@martin_casado</w:t>
      </w:r>
      <w:r>
        <w:t xml:space="preserve">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Casado calls it a</w:t>
      </w:r>
      <w:r>
        <w:t xml:space="preserve"> </w:t>
      </w:r>
      <w:r>
        <w:t xml:space="preserve">“</w:t>
      </w:r>
      <w:r>
        <w:t xml:space="preserve">great analogy describing what LLMs can and can’t do,</w:t>
      </w:r>
      <w:r>
        <w:t xml:space="preserve">”</w:t>
      </w:r>
      <w:r>
        <w:t xml:space="preserve"> </w:t>
      </w:r>
      <w:r>
        <w:t xml:space="preserve">framing them as:</w:t>
      </w:r>
    </w:p>
    <w:p>
      <w:pPr>
        <w:numPr>
          <w:ilvl w:val="1"/>
          <w:numId w:val="1002"/>
        </w:numPr>
        <w:pStyle w:val="Compact"/>
      </w:pPr>
      <w:r>
        <w:t xml:space="preserve">Good at</w:t>
      </w:r>
      <w:r>
        <w:t xml:space="preserve"> </w:t>
      </w:r>
      <w:r>
        <w:rPr>
          <w:bCs/>
          <w:b/>
        </w:rPr>
        <w:t xml:space="preserve">cross-entropy loss</w:t>
      </w:r>
      <w:r>
        <w:t xml:space="preserve"> </w:t>
      </w:r>
      <w:r>
        <w:t xml:space="preserve">(predicting what’s next in training data)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1"/>
          <w:numId w:val="1002"/>
        </w:numPr>
        <w:pStyle w:val="Compact"/>
      </w:pPr>
      <w:r>
        <w:t xml:space="preserve">Bad at</w:t>
      </w:r>
      <w:r>
        <w:t xml:space="preserve"> </w:t>
      </w:r>
      <w:r>
        <w:rPr>
          <w:bCs/>
          <w:b/>
        </w:rPr>
        <w:t xml:space="preserve">reducing Kolmogorov complexity</w:t>
      </w:r>
      <w:r>
        <w:t xml:space="preserve"> </w:t>
      </w:r>
      <w:r>
        <w:t xml:space="preserve">(finding a dramatically simpler underlying program/solution that generates the data)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compact, transferable lens for evaluating where LLMs may excel (next-token-style prediction) vs. where they may fall short (discovering radically simpler generative explanations), without requiring a long debate about</w:t>
      </w:r>
      <w:r>
        <w:t xml:space="preserve"> </w:t>
      </w:r>
      <w:r>
        <w:t xml:space="preserve">“</w:t>
      </w:r>
      <w:r>
        <w:t xml:space="preserve">intelligence.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pStyle w:val="BlockText"/>
      </w:pPr>
      <w:r>
        <w:t xml:space="preserve">“</w:t>
      </w:r>
      <w:r>
        <w:t xml:space="preserve">Great analogy describing what LLMs can and can’t do.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6" w:name="X6cec50546f6e93e10c10c0029740ffe6c7feadc"/>
    <w:p>
      <w:pPr>
        <w:pStyle w:val="Heading2"/>
      </w:pPr>
      <w:r>
        <w:t xml:space="preserve">Product + media: don’t retrofit—redesign the broadcast</w:t>
      </w:r>
    </w:p>
    <w:bookmarkStart w:id="35" w:name="X17dbab41c7f77574f5f8a30ab90459c048c3eea"/>
    <w:p>
      <w:pPr>
        <w:pStyle w:val="Heading3"/>
      </w:pPr>
      <w:r>
        <w:rPr>
          <w:iCs/>
          <w:i/>
        </w:rPr>
        <w:t xml:space="preserve">Apple, You Still Don’t Understand the Vision Pro</w:t>
      </w:r>
      <w:r>
        <w:t xml:space="preserve"> </w:t>
      </w:r>
      <w:r>
        <w:t xml:space="preserve">— Ben Thompson (Stratechery article)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(Stratechery)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Ben Thompson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https://stratechery.com/2026/apple-you-still-dont-understand-the-vision-pro/</w:t>
      </w:r>
      <w:r>
        <w:t xml:space="preserve"> </w:t>
      </w:r>
      <w:r>
        <w:rPr>
          <w:rStyle w:val="FootnoteReference"/>
        </w:rPr>
        <w:footnoteReference w:id="29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Garry Tan (</w:t>
      </w:r>
      <w:r>
        <w:t xml:space="preserve">@garrytan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Tan agrees with Stratechery that the Apple Vision Pro product team should be thinking about</w:t>
      </w:r>
      <w:r>
        <w:t xml:space="preserve"> </w:t>
      </w:r>
      <w:r>
        <w:rPr>
          <w:bCs/>
          <w:b/>
        </w:rPr>
        <w:t xml:space="preserve">remaking sports broadcasting from the bottom up</w:t>
      </w:r>
      <w:r>
        <w:t xml:space="preserve">—and contrasts that with a Lakers game broadcast that sounded like</w:t>
      </w:r>
      <w:r>
        <w:t xml:space="preserve"> </w:t>
      </w:r>
      <w:r>
        <w:t xml:space="preserve">“</w:t>
      </w:r>
      <w:r>
        <w:t xml:space="preserve">building a faster horse.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It’s a clear</w:t>
      </w:r>
      <w:r>
        <w:t xml:space="preserve"> </w:t>
      </w:r>
      <w:r>
        <w:t xml:space="preserve">“</w:t>
      </w:r>
      <w:r>
        <w:t xml:space="preserve">blank-sheet</w:t>
      </w:r>
      <w:r>
        <w:t xml:space="preserve">”</w:t>
      </w:r>
      <w:r>
        <w:t xml:space="preserve"> </w:t>
      </w:r>
      <w:r>
        <w:t xml:space="preserve">product prompt: if you’re building in a new medium (spatial computing), the opportunity may be to rebuild the experience, not just port existing formats with incremental upgrades.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pStyle w:val="BlockText"/>
      </w:pPr>
      <w:r>
        <w:t xml:space="preserve">“</w:t>
      </w:r>
      <w:r>
        <w:t xml:space="preserve">Don’t build a faster horse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3"/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3" w:name="X4dec97f1b3a8a1ab7c68e93e21c6170c2cddf4a"/>
    <w:p>
      <w:pPr>
        <w:pStyle w:val="Heading2"/>
      </w:pPr>
      <w:r>
        <w:t xml:space="preserve">Policy/economics reading flagged by founders</w:t>
      </w:r>
    </w:p>
    <w:bookmarkStart w:id="42" w:name="X43b89d3aecb562b13fddc7b06ddf0448e8f82a9"/>
    <w:p>
      <w:pPr>
        <w:pStyle w:val="Heading3"/>
      </w:pPr>
      <w:r>
        <w:rPr>
          <w:iCs/>
          <w:i/>
        </w:rPr>
        <w:t xml:space="preserve">SEIU delenda est</w:t>
      </w:r>
      <w:r>
        <w:t xml:space="preserve"> </w:t>
      </w:r>
      <w:r>
        <w:t xml:space="preserve">— Astral Codex Ten (article)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Astral Codex Ten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https://www.astralcodexten.com/p/seiu-delenda-est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Paul Graham (</w:t>
      </w:r>
      <w:r>
        <w:t xml:space="preserve">@paulg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shared):</w:t>
      </w:r>
      <w:r>
        <w:t xml:space="preserve"> </w:t>
      </w:r>
      <w:r>
        <w:t xml:space="preserve">Graham says the article explains clearly</w:t>
      </w:r>
      <w:r>
        <w:t xml:space="preserve"> </w:t>
      </w:r>
      <w:r>
        <w:rPr>
          <w:bCs/>
          <w:b/>
        </w:rPr>
        <w:t xml:space="preserve">why California’s proposed wealth tax would be damaging</w:t>
      </w:r>
      <w:r>
        <w:t xml:space="preserve">, and adds that it’s</w:t>
      </w:r>
      <w:r>
        <w:t xml:space="preserve"> </w:t>
      </w:r>
      <w:r>
        <w:t xml:space="preserve">“</w:t>
      </w:r>
      <w:r>
        <w:t xml:space="preserve">not an accident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designed to be damaging.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you track California policy and its downstream effects on startups/founders, this is a pointed</w:t>
      </w:r>
      <w:r>
        <w:t xml:space="preserve"> </w:t>
      </w:r>
      <w:r>
        <w:t xml:space="preserve">“</w:t>
      </w:r>
      <w:r>
        <w:t xml:space="preserve">read this to understand the argument</w:t>
      </w:r>
      <w:r>
        <w:t xml:space="preserve">”</w:t>
      </w:r>
      <w:r>
        <w:t xml:space="preserve"> </w:t>
      </w:r>
      <w:r>
        <w:t xml:space="preserve">recommendation from a high-signal operator.</w:t>
      </w:r>
      <w:r>
        <w:t xml:space="preserve"> </w:t>
      </w:r>
      <w:r>
        <w:rPr>
          <w:rStyle w:val="FootnoteReference"/>
        </w:rPr>
        <w:footnoteReference w:id="40"/>
      </w:r>
    </w:p>
    <w:p>
      <w:pPr>
        <w:pStyle w:val="BlockText"/>
      </w:pPr>
      <w:r>
        <w:t xml:space="preserve">“</w:t>
      </w:r>
      <w:r>
        <w:t xml:space="preserve">This article explains clearly why the proposed wealth tax would be so damaging to California. It’s not an accident. It’s</w:t>
      </w:r>
      <w:r>
        <w:t xml:space="preserve"> </w:t>
      </w:r>
      <w:r>
        <w:rPr>
          <w:iCs/>
          <w:i/>
        </w:rPr>
        <w:t xml:space="preserve">designed</w:t>
      </w:r>
      <w:r>
        <w:t xml:space="preserve"> </w:t>
      </w:r>
      <w:r>
        <w:t xml:space="preserve">to be damaging.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1"/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9" w:name="pattern-across-todays-picks"/>
    <w:p>
      <w:pPr>
        <w:pStyle w:val="Heading2"/>
      </w:pPr>
      <w:r>
        <w:t xml:space="preserve">Pattern across today’s picks</w:t>
      </w:r>
    </w:p>
    <w:p>
      <w:pPr>
        <w:pStyle w:val="FirstParagraph"/>
      </w:pPr>
      <w:r>
        <w:t xml:space="preserve">A common thread is</w:t>
      </w:r>
      <w:r>
        <w:t xml:space="preserve"> </w:t>
      </w:r>
      <w:r>
        <w:rPr>
          <w:bCs/>
          <w:b/>
        </w:rPr>
        <w:t xml:space="preserve">first-principles framing</w:t>
      </w:r>
      <w:r>
        <w:t xml:space="preserve">: one recommendation offers a clean boundary model for LLM capabilities (cross-entropy vs. Kolmogorov complexity)</w:t>
      </w:r>
      <w:r>
        <w:t xml:space="preserve"> </w:t>
      </w:r>
      <w:r>
        <w:rPr>
          <w:rStyle w:val="FootnoteReference"/>
        </w:rPr>
        <w:footnoteReference w:id="44"/>
      </w:r>
      <w:r>
        <w:rPr>
          <w:rStyle w:val="FootnoteReference"/>
        </w:rPr>
        <w:footnoteReference w:id="45"/>
      </w:r>
      <w:r>
        <w:t xml:space="preserve">, another argues for redesigning an experience</w:t>
      </w:r>
      <w:r>
        <w:t xml:space="preserve"> </w:t>
      </w:r>
      <w:r>
        <w:t xml:space="preserve">“</w:t>
      </w:r>
      <w:r>
        <w:t xml:space="preserve">from bottom up</w:t>
      </w:r>
      <w:r>
        <w:t xml:space="preserve">”</w:t>
      </w:r>
      <w:r>
        <w:t xml:space="preserve"> </w:t>
      </w:r>
      <w:r>
        <w:t xml:space="preserve">rather than incremental upgrades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, and a third spotlights an argument about policy incentives and intended effects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@vishalmisra</w:t>
        </w:r>
      </w:hyperlink>
    </w:p>
    <w:p>
      <w:pPr>
        <w:numPr>
          <w:ilvl w:val="0"/>
          <w:numId w:val="1005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5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5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@vishalmisra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x.com/garrytan/status/2010746117265473667" TargetMode="External" /><Relationship Type="http://schemas.openxmlformats.org/officeDocument/2006/relationships/hyperlink" Id="rId34" Target="https://x.com/garrytan/status/2030125780551045250" TargetMode="External" /><Relationship Type="http://schemas.openxmlformats.org/officeDocument/2006/relationships/hyperlink" Id="rId23" Target="https://x.com/martin_casado/status/2030127574739996947" TargetMode="External" /><Relationship Type="http://schemas.openxmlformats.org/officeDocument/2006/relationships/hyperlink" Id="rId38" Target="https://x.com/paulg/status/2029977808370336200" TargetMode="External" /><Relationship Type="http://schemas.openxmlformats.org/officeDocument/2006/relationships/hyperlink" Id="rId21" Target="https://x.com/vishalmisra/status/203012344875701486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x.com/garrytan/status/2010746117265473667" TargetMode="External" /><Relationship Type="http://schemas.openxmlformats.org/officeDocument/2006/relationships/hyperlink" Id="rId34" Target="https://x.com/garrytan/status/2030125780551045250" TargetMode="External" /><Relationship Type="http://schemas.openxmlformats.org/officeDocument/2006/relationships/hyperlink" Id="rId23" Target="https://x.com/martin_casado/status/2030127574739996947" TargetMode="External" /><Relationship Type="http://schemas.openxmlformats.org/officeDocument/2006/relationships/hyperlink" Id="rId38" Target="https://x.com/paulg/status/2029977808370336200" TargetMode="External" /><Relationship Type="http://schemas.openxmlformats.org/officeDocument/2006/relationships/hyperlink" Id="rId21" Target="https://x.com/vishalmisra/status/203012344875701486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LLM limits via Kolmogorov complexity, Vision Pro broadcast redesign, and a California wealth tax explainer</dc:title>
  <dc:creator>Recommended Reading from Tech Founders</dc:creator>
  <cp:keywords/>
  <dcterms:created xsi:type="dcterms:W3CDTF">2026-03-07T22:56:20Z</dcterms:created>
  <dcterms:modified xsi:type="dcterms:W3CDTF">2026-03-07T22:56:20Z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2026-03-07</vt:lpwstr>
  </property>
</Properties>
</file>