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Maputo and La Paz Add Bitcoin Spend Options as Offline and AI Payment Rails Advance</w:t>
      </w:r>
    </w:p>
    <w:p>
      <w:pPr>
        <w:pStyle w:val="Author"/>
      </w:pPr>
      <w:r>
        <w:t xml:space="preserve">Bitcoin Payment Adoption Tracker</w:t>
      </w:r>
    </w:p>
    <w:p>
      <w:pPr>
        <w:pStyle w:val="Date"/>
      </w:pPr>
      <w:r>
        <w:t xml:space="preserve">2026-05-11</w:t>
      </w:r>
    </w:p>
    <w:bookmarkStart w:id="53" w:name="Xedf1ffbd7438be5f1467ffe48098a5c6feeb8cb"/>
    <w:p>
      <w:pPr>
        <w:pStyle w:val="Heading1"/>
      </w:pPr>
      <w:r>
        <w:t xml:space="preserve">Maputo and La Paz Add Bitcoin Spend Options as Offline and AI Payment Rails Advance</w:t>
      </w:r>
    </w:p>
    <w:p>
      <w:pPr>
        <w:pStyle w:val="FirstParagraph"/>
      </w:pPr>
      <w:r>
        <w:rPr>
          <w:iCs/>
          <w:i/>
        </w:rPr>
        <w:t xml:space="preserve">By Bitcoin Payment Adoption Tracker • May 11, 2026</w:t>
      </w:r>
    </w:p>
    <w:p>
      <w:pPr>
        <w:pStyle w:val="BodyText"/>
      </w:pPr>
      <w:r>
        <w:t xml:space="preserve">New Bitcoin payment acceptance surfaced at a 24/7 gym in Mozambique, a public fair in Bolivia, and a P2P services marketplace, while infrastructure updates centered on USSD remittances and Bitcoin-native payments for AI agents. The source set contained no new regulatory changes and only limited hard usage data.</w:t>
      </w:r>
    </w:p>
    <w:bookmarkStart w:id="23" w:name="major-adoption-news"/>
    <w:p>
      <w:pPr>
        <w:pStyle w:val="Heading2"/>
      </w:pPr>
      <w:r>
        <w:t xml:space="preserve">Major Adoption News</w:t>
      </w:r>
    </w:p>
    <w:bookmarkStart w:id="20" w:name="X233c31e986d3012f21fd628cdb059c888214417"/>
    <w:p>
      <w:pPr>
        <w:pStyle w:val="Heading3"/>
      </w:pPr>
      <w:r>
        <w:t xml:space="preserve">Mozambique — Olympia Gym adds 24/7 Lightning acceptance</w:t>
      </w:r>
    </w:p>
    <w:p>
      <w:pPr>
        <w:pStyle w:val="FirstParagraph"/>
      </w:pPr>
      <w:r>
        <w:t xml:space="preserve">Olympia Gym in Maputo now accepts Bitcoin through a Lightning address at blink.sv and is listed on BTC Map as open 24/7, including holidays [1].</w:t>
      </w:r>
    </w:p>
    <w:p>
      <w:pPr>
        <w:pStyle w:val="BodyText"/>
      </w:pPr>
      <w:r>
        <w:rPr>
          <w:bCs/>
          <w:b/>
        </w:rPr>
        <w:t xml:space="preserve">Business impact:</w:t>
      </w:r>
      <w:r>
        <w:t xml:space="preserve"> </w:t>
      </w:r>
      <w:r>
        <w:t xml:space="preserve">This adds a continuously available service merchant in Mozambique and pairs acceptance with BTC Map discoverability [1].</w:t>
      </w:r>
    </w:p>
    <w:bookmarkEnd w:id="20"/>
    <w:bookmarkStart w:id="21" w:name="X0b1c34f532de4fee1dcf2637898088f021e93f7"/>
    <w:p>
      <w:pPr>
        <w:pStyle w:val="Heading3"/>
      </w:pPr>
      <w:r>
        <w:t xml:space="preserve">Bolivia — La Paz fair shows multi-business acceptance</w:t>
      </w:r>
    </w:p>
    <w:p>
      <w:pPr>
        <w:pStyle w:val="FirstParagraph"/>
      </w:pPr>
      <w:r>
        <w:t xml:space="preserve">Businesses at the Feria Dominical de El Prado in La Paz accept Bitcoin, with the source framing that acceptance as a reason to go there and pay with BTC [2].</w:t>
      </w:r>
    </w:p>
    <w:p>
      <w:pPr>
        <w:pStyle w:val="BodyText"/>
      </w:pPr>
      <w:r>
        <w:rPr>
          <w:bCs/>
          <w:b/>
        </w:rPr>
        <w:t xml:space="preserve">Business impact:</w:t>
      </w:r>
      <w:r>
        <w:t xml:space="preserve"> </w:t>
      </w:r>
      <w:r>
        <w:t xml:space="preserve">The note points to Bitcoin acceptance inside a public fair setting with multiple businesses rather than a single storefront [2].</w:t>
      </w:r>
    </w:p>
    <w:bookmarkEnd w:id="21"/>
    <w:bookmarkStart w:id="22" w:name="X1d9dfcc271e007cc561a76d59db35fb23e284a1"/>
    <w:p>
      <w:pPr>
        <w:pStyle w:val="Heading3"/>
      </w:pPr>
      <w:r>
        <w:t xml:space="preserve">Online services — location not specified in the cited material</w:t>
      </w:r>
    </w:p>
    <w:p>
      <w:pPr>
        <w:pStyle w:val="FirstParagraph"/>
      </w:pPr>
      <w:r>
        <w:t xml:space="preserve">BitTasker.com is described as a non-custodial P2P platform where entrepreneurs can list services, get hired, earn Bitcoin, and build reputation while keeping control of their sovereign identity [3, 4].</w:t>
      </w:r>
    </w:p>
    <w:p>
      <w:pPr>
        <w:pStyle w:val="BodyText"/>
      </w:pPr>
      <w:r>
        <w:rPr>
          <w:bCs/>
          <w:b/>
        </w:rPr>
        <w:t xml:space="preserve">Business impact:</w:t>
      </w:r>
      <w:r>
        <w:t xml:space="preserve"> </w:t>
      </w:r>
      <w:r>
        <w:t xml:space="preserve">This broadens Bitcoin payment activity beyond physical retail into peer-to-peer service transactions [3, 4].</w:t>
      </w:r>
    </w:p>
    <w:bookmarkEnd w:id="22"/>
    <w:bookmarkEnd w:id="23"/>
    <w:bookmarkStart w:id="30" w:name="payment-infrastructure"/>
    <w:p>
      <w:pPr>
        <w:pStyle w:val="Heading2"/>
      </w:pPr>
      <w:r>
        <w:t xml:space="preserve">Payment Infrastructure</w:t>
      </w:r>
    </w:p>
    <w:bookmarkStart w:id="24" w:name="Xc0c92e677059d989dd669a9438c9166b8f4158f"/>
    <w:p>
      <w:pPr>
        <w:pStyle w:val="Heading3"/>
      </w:pPr>
      <w:r>
        <w:t xml:space="preserve">Location not specified in the cited material — USSD remittance flow targets offline spending</w:t>
      </w:r>
    </w:p>
    <w:p>
      <w:pPr>
        <w:pStyle w:val="FirstParagraph"/>
      </w:pPr>
      <w:r>
        <w:t xml:space="preserve">A Blink API-based USSD solution was presented as enabling users to receive support from family abroad and pay daily needs locally while offline [5].</w:t>
      </w:r>
    </w:p>
    <w:p>
      <w:pPr>
        <w:pStyle w:val="BodyText"/>
      </w:pPr>
      <w:r>
        <w:rPr>
          <w:bCs/>
          <w:b/>
        </w:rPr>
        <w:t xml:space="preserve">Why it matters:</w:t>
      </w:r>
      <w:r>
        <w:t xml:space="preserve"> </w:t>
      </w:r>
      <w:r>
        <w:t xml:space="preserve">This is one of the clearest remittance-focused payment tools in the batch, aimed at low-connectivity environments rather than app-only use [5].</w:t>
      </w:r>
    </w:p>
    <w:bookmarkEnd w:id="24"/>
    <w:bookmarkStart w:id="29" w:name="Xd17af49220db727b5e4389cdfe75202246fadde"/>
    <w:p>
      <w:pPr>
        <w:pStyle w:val="Heading3"/>
      </w:pPr>
      <w:r>
        <w:t xml:space="preserve">Global — Bitcoin rails are being adapted for AI-agent payments</w:t>
      </w:r>
    </w:p>
    <w:p>
      <w:pPr>
        <w:pStyle w:val="FirstParagraph"/>
      </w:pPr>
      <w:r>
        <w:t xml:space="preserve">At Bitcoin 2026, panelists described a Bitcoin-native stack for agent payments. Cashew was presented as a bearer-asset mechanism that can reduce Lightning channel and liquidity friction, cap agent spend, and handle sub-cent payments as text-based transfers [6]. Albi said its AI payment tools support L402, X402, and MPPP, while Nostr Wallet Connect can give agents budgeted access to custodial or self-custodial Lightning wallets [6]. Open Agents, described as based in Austin, Texas, said its Pylon system pays users Bitcoin for spare compute and that it had distributed about 1.5 million sats for compute over the prior two weeks [6].</w:t>
      </w:r>
    </w:p>
    <w:p>
      <w:pPr>
        <w:pStyle w:val="BodyText"/>
      </w:pPr>
      <w:r>
        <w:t xml:space="preserve">Panelists also pointed to l402.directory as a catalog of services agents can buy, Hyperdope for Lightning-gated video, PPQ for pay-per-use inference, hosting, images, and data, and Routster for LLM credits authenticated with a Cashew token [6].</w:t>
      </w:r>
    </w:p>
    <w:p>
      <w:pPr>
        <w:pStyle w:val="BodyText"/>
      </w:pPr>
      <w:r>
        <w:rPr>
          <w:bCs/>
          <w:b/>
        </w:rPr>
        <w:t xml:space="preserve">Why it matters:</w:t>
      </w:r>
      <w:r>
        <w:t xml:space="preserve"> </w:t>
      </w:r>
      <w:r>
        <w:t xml:space="preserve">These tools extend Bitcoin payments into machine-to-machine transactions, especially for API calls, compute, inference, and hosting [6].</w:t>
      </w:r>
    </w:p>
    <w:p>
      <w:pPr>
        <w:pStyle w:val="BodyText"/>
      </w:pPr>
      <w:hyperlink r:id="rId28">
        <w:r>
          <w:drawing>
            <wp:inline>
              <wp:extent cx="5334000" cy="4000500"/>
              <wp:effectExtent b="0" l="0" r="0" t="0"/>
              <wp:docPr descr="Why AI Agents Want Bitcoin | Bitcoin 2026" title="" id="26" name="Picture"/>
              <a:graphic>
                <a:graphicData uri="http://schemas.openxmlformats.org/drawingml/2006/picture">
                  <pic:pic>
                    <pic:nvPicPr>
                      <pic:cNvPr descr="https://img.youtube.com/vi/ApuXgFoKkQc/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AI Agents Want Bitcoin | Bitcoin 2026 (6:00)</w:t>
      </w:r>
    </w:p>
    <w:bookmarkEnd w:id="29"/>
    <w:bookmarkEnd w:id="30"/>
    <w:bookmarkStart w:id="34" w:name="regulatory-landscape"/>
    <w:p>
      <w:pPr>
        <w:pStyle w:val="Heading2"/>
      </w:pPr>
      <w:r>
        <w:t xml:space="preserve">Regulatory Landscape</w:t>
      </w:r>
    </w:p>
    <w:bookmarkStart w:id="31" w:name="africa"/>
    <w:p>
      <w:pPr>
        <w:pStyle w:val="Heading3"/>
      </w:pPr>
      <w:r>
        <w:t xml:space="preserve">Africa</w:t>
      </w:r>
    </w:p>
    <w:p>
      <w:pPr>
        <w:pStyle w:val="FirstParagraph"/>
      </w:pPr>
      <w:r>
        <w:t xml:space="preserve">No new legal, tax, licensing, or payment-policy changes affecting Bitcoin payments were identified in the Mozambique or Kenya material.</w:t>
      </w:r>
    </w:p>
    <w:bookmarkEnd w:id="31"/>
    <w:bookmarkStart w:id="32" w:name="latin-america"/>
    <w:p>
      <w:pPr>
        <w:pStyle w:val="Heading3"/>
      </w:pPr>
      <w:r>
        <w:t xml:space="preserve">Latin America</w:t>
      </w:r>
    </w:p>
    <w:p>
      <w:pPr>
        <w:pStyle w:val="FirstParagraph"/>
      </w:pPr>
      <w:r>
        <w:t xml:space="preserve">No new regulatory changes affecting Bitcoin payments were surfaced in the Bolivia notes.</w:t>
      </w:r>
    </w:p>
    <w:bookmarkEnd w:id="32"/>
    <w:bookmarkStart w:id="33" w:name="global-and-online-services"/>
    <w:p>
      <w:pPr>
        <w:pStyle w:val="Heading3"/>
      </w:pPr>
      <w:r>
        <w:t xml:space="preserve">Global and online services</w:t>
      </w:r>
    </w:p>
    <w:p>
      <w:pPr>
        <w:pStyle w:val="FirstParagraph"/>
      </w:pPr>
      <w:r>
        <w:t xml:space="preserve">No new compliance or policy changes were disclosed for the USSD remittance tool, BitTasker, or the AI-agent payment stack.</w:t>
      </w:r>
    </w:p>
    <w:bookmarkEnd w:id="33"/>
    <w:bookmarkEnd w:id="34"/>
    <w:bookmarkStart w:id="35" w:name="usage-metrics"/>
    <w:p>
      <w:pPr>
        <w:pStyle w:val="Heading2"/>
      </w:pPr>
      <w:r>
        <w:t xml:space="preserve">Usage Metrics</w:t>
      </w:r>
    </w:p>
    <w:p>
      <w:pPr>
        <w:pStyle w:val="FirstParagraph"/>
      </w:pPr>
      <w:r>
        <w:t xml:space="preserve">The source set contains limited hard payment data. Most evidence is merchant appearance rather than transaction throughput.</w:t>
      </w:r>
    </w:p>
    <w:p>
      <w:pPr>
        <w:numPr>
          <w:ilvl w:val="0"/>
          <w:numId w:val="1001"/>
        </w:numPr>
        <w:pStyle w:val="Compact"/>
      </w:pPr>
      <w:r>
        <w:rPr>
          <w:bCs/>
          <w:b/>
        </w:rPr>
        <w:t xml:space="preserve">Global:</w:t>
      </w:r>
      <w:r>
        <w:t xml:space="preserve"> </w:t>
      </w:r>
      <w:r>
        <w:t xml:space="preserve">Open Agents said it paid about</w:t>
      </w:r>
      <w:r>
        <w:t xml:space="preserve"> </w:t>
      </w:r>
      <w:r>
        <w:rPr>
          <w:bCs/>
          <w:b/>
        </w:rPr>
        <w:t xml:space="preserve">1.5 million sats</w:t>
      </w:r>
      <w:r>
        <w:t xml:space="preserve"> </w:t>
      </w:r>
      <w:r>
        <w:t xml:space="preserve">for compute over the last two weeks [6].</w:t>
      </w:r>
    </w:p>
    <w:p>
      <w:pPr>
        <w:numPr>
          <w:ilvl w:val="0"/>
          <w:numId w:val="1001"/>
        </w:numPr>
        <w:pStyle w:val="Compact"/>
      </w:pPr>
      <w:r>
        <w:rPr>
          <w:bCs/>
          <w:b/>
        </w:rPr>
        <w:t xml:space="preserve">Mozambique:</w:t>
      </w:r>
      <w:r>
        <w:t xml:space="preserve"> </w:t>
      </w:r>
      <w:r>
        <w:rPr>
          <w:bCs/>
          <w:b/>
        </w:rPr>
        <w:t xml:space="preserve">1</w:t>
      </w:r>
      <w:r>
        <w:t xml:space="preserve"> </w:t>
      </w:r>
      <w:r>
        <w:t xml:space="preserve">newly surfaced BTC Map-listed merchant, Olympia Gym in Maputo, with 24/7 hours [1].</w:t>
      </w:r>
    </w:p>
    <w:p>
      <w:pPr>
        <w:numPr>
          <w:ilvl w:val="0"/>
          <w:numId w:val="1001"/>
        </w:numPr>
        <w:pStyle w:val="Compact"/>
      </w:pPr>
      <w:r>
        <w:rPr>
          <w:bCs/>
          <w:b/>
        </w:rPr>
        <w:t xml:space="preserve">Bolivia:</w:t>
      </w:r>
      <w:r>
        <w:t xml:space="preserve"> </w:t>
      </w:r>
      <w:r>
        <w:t xml:space="preserve">The La Paz note indicates</w:t>
      </w:r>
      <w:r>
        <w:t xml:space="preserve"> </w:t>
      </w:r>
      <w:r>
        <w:rPr>
          <w:bCs/>
          <w:b/>
        </w:rPr>
        <w:t xml:space="preserve">multiple businesses</w:t>
      </w:r>
      <w:r>
        <w:t xml:space="preserve"> </w:t>
      </w:r>
      <w:r>
        <w:t xml:space="preserve">at the Feria Dominical de El Prado accept Bitcoin, but no merchant count or volume figure was provided [2].</w:t>
      </w:r>
    </w:p>
    <w:p>
      <w:pPr>
        <w:numPr>
          <w:ilvl w:val="0"/>
          <w:numId w:val="1001"/>
        </w:numPr>
        <w:pStyle w:val="Compact"/>
      </w:pPr>
      <w:r>
        <w:rPr>
          <w:bCs/>
          <w:b/>
        </w:rPr>
        <w:t xml:space="preserve">Location not specified in the cited material:</w:t>
      </w:r>
      <w:r>
        <w:t xml:space="preserve"> </w:t>
      </w:r>
      <w:r>
        <w:rPr>
          <w:bCs/>
          <w:b/>
        </w:rPr>
        <w:t xml:space="preserve">2</w:t>
      </w:r>
      <w:r>
        <w:t xml:space="preserve"> </w:t>
      </w:r>
      <w:r>
        <w:t xml:space="preserve">additional BTC Map-linked merchants appeared in the batch — Haven food court and Viwa Accessories [7, 8].</w:t>
      </w:r>
    </w:p>
    <w:p>
      <w:pPr>
        <w:numPr>
          <w:ilvl w:val="0"/>
          <w:numId w:val="1001"/>
        </w:numPr>
        <w:pStyle w:val="Compact"/>
      </w:pPr>
      <w:r>
        <w:rPr>
          <w:bCs/>
          <w:b/>
        </w:rPr>
        <w:t xml:space="preserve">Global:</w:t>
      </w:r>
      <w:r>
        <w:t xml:space="preserve"> </w:t>
      </w:r>
      <w:r>
        <w:t xml:space="preserve">Open Agents also said it wanted to cross a</w:t>
      </w:r>
      <w:r>
        <w:t xml:space="preserve"> </w:t>
      </w:r>
      <w:r>
        <w:rPr>
          <w:bCs/>
          <w:b/>
        </w:rPr>
        <w:t xml:space="preserve">200-node</w:t>
      </w:r>
      <w:r>
        <w:t xml:space="preserve"> </w:t>
      </w:r>
      <w:r>
        <w:t xml:space="preserve">threshold for a decentralized training run, but this was stated as a target rather than achieved usage [6].</w:t>
      </w:r>
    </w:p>
    <w:p>
      <w:pPr>
        <w:pStyle w:val="FirstParagraph"/>
      </w:pPr>
      <w:r>
        <w:t xml:space="preserve">No transaction-value, settlement-total, or repeat-purchase data was disclosed for the retail merchants in the notes.</w:t>
      </w:r>
    </w:p>
    <w:bookmarkEnd w:id="35"/>
    <w:bookmarkStart w:id="40" w:name="emerging-markets"/>
    <w:p>
      <w:pPr>
        <w:pStyle w:val="Heading2"/>
      </w:pPr>
      <w:r>
        <w:t xml:space="preserve">Emerging Markets</w:t>
      </w:r>
    </w:p>
    <w:bookmarkStart w:id="36" w:name="Xc31433f76a371f44fb535427badc834cc7a3777"/>
    <w:p>
      <w:pPr>
        <w:pStyle w:val="Heading3"/>
      </w:pPr>
      <w:r>
        <w:t xml:space="preserve">Kenya — Kibera points to deeper circular-economy usage</w:t>
      </w:r>
    </w:p>
    <w:p>
      <w:pPr>
        <w:pStyle w:val="FirstParagraph"/>
      </w:pPr>
      <w:r>
        <w:t xml:space="preserve">An anecdotal post about Bitcoin Valley in Kibera described residents as highly reliant on Bitcoin, and AfribitKibera announced a circular-economy visit for June 26 [9, 10].</w:t>
      </w:r>
    </w:p>
    <w:p>
      <w:pPr>
        <w:pStyle w:val="BodyText"/>
      </w:pPr>
      <w:r>
        <w:rPr>
          <w:bCs/>
          <w:b/>
        </w:rPr>
        <w:t xml:space="preserve">Significance:</w:t>
      </w:r>
      <w:r>
        <w:t xml:space="preserve"> </w:t>
      </w:r>
      <w:r>
        <w:t xml:space="preserve">This suggests a stage beyond first-time merchant onboarding, with Bitcoin described as integral to day-to-day exchange within the community [9].</w:t>
      </w:r>
    </w:p>
    <w:bookmarkEnd w:id="36"/>
    <w:bookmarkStart w:id="37" w:name="Xc3b08f1b58c605fb0b899d012c98dc7576fadad"/>
    <w:p>
      <w:pPr>
        <w:pStyle w:val="Heading3"/>
      </w:pPr>
      <w:r>
        <w:t xml:space="preserve">Mozambique — service-sector merchant mix continues to expand</w:t>
      </w:r>
    </w:p>
    <w:p>
      <w:pPr>
        <w:pStyle w:val="FirstParagraph"/>
      </w:pPr>
      <w:r>
        <w:t xml:space="preserve">Olympia Gym adds a fitness business to the merchant mix surfaced in this batch and makes that acceptance visible on BTC Map [1].</w:t>
      </w:r>
    </w:p>
    <w:p>
      <w:pPr>
        <w:pStyle w:val="BodyText"/>
      </w:pPr>
      <w:r>
        <w:rPr>
          <w:bCs/>
          <w:b/>
        </w:rPr>
        <w:t xml:space="preserve">Significance:</w:t>
      </w:r>
      <w:r>
        <w:t xml:space="preserve"> </w:t>
      </w:r>
      <w:r>
        <w:t xml:space="preserve">The merchant category matters because it adds a service business to the sectors represented in the current source set [1].</w:t>
      </w:r>
    </w:p>
    <w:bookmarkEnd w:id="37"/>
    <w:bookmarkStart w:id="38" w:name="X56a759334843f02c55231d9a53ee355e88b1e86"/>
    <w:p>
      <w:pPr>
        <w:pStyle w:val="Heading3"/>
      </w:pPr>
      <w:r>
        <w:t xml:space="preserve">Bolivia — public-market acceptance reaches everyday shopping venues</w:t>
      </w:r>
    </w:p>
    <w:p>
      <w:pPr>
        <w:pStyle w:val="FirstParagraph"/>
      </w:pPr>
      <w:r>
        <w:t xml:space="preserve">The Feria Dominical de El Prado update indicates Bitcoin acceptance by businesses in a public fair setting in La Paz [2].</w:t>
      </w:r>
    </w:p>
    <w:p>
      <w:pPr>
        <w:pStyle w:val="BodyText"/>
      </w:pPr>
      <w:r>
        <w:rPr>
          <w:bCs/>
          <w:b/>
        </w:rPr>
        <w:t xml:space="preserve">Significance:</w:t>
      </w:r>
      <w:r>
        <w:t xml:space="preserve"> </w:t>
      </w:r>
      <w:r>
        <w:t xml:space="preserve">This gives Bitcoin visibility in an everyday shopping venue rather than only at a single named merchant [2].</w:t>
      </w:r>
    </w:p>
    <w:bookmarkEnd w:id="38"/>
    <w:bookmarkStart w:id="39" w:name="X5b81a11ef5f47a9762008dbd02991cb88086b43"/>
    <w:p>
      <w:pPr>
        <w:pStyle w:val="Heading3"/>
      </w:pPr>
      <w:r>
        <w:t xml:space="preserve">Low-connectivity environments — location not specified in the cited material</w:t>
      </w:r>
    </w:p>
    <w:p>
      <w:pPr>
        <w:pStyle w:val="FirstParagraph"/>
      </w:pPr>
      <w:r>
        <w:t xml:space="preserve">The Blink API USSD flow combines cross-border remittance receipt with offline local spending on daily needs [5].</w:t>
      </w:r>
    </w:p>
    <w:p>
      <w:pPr>
        <w:pStyle w:val="BodyText"/>
      </w:pPr>
      <w:r>
        <w:rPr>
          <w:bCs/>
          <w:b/>
        </w:rPr>
        <w:t xml:space="preserve">Significance:</w:t>
      </w:r>
      <w:r>
        <w:t xml:space="preserve"> </w:t>
      </w:r>
      <w:r>
        <w:t xml:space="preserve">It is one of the strongest payment-infrastructure items in the batch for environments where app-based usage may be harder to sustain [5].</w:t>
      </w:r>
    </w:p>
    <w:bookmarkEnd w:id="39"/>
    <w:bookmarkEnd w:id="40"/>
    <w:bookmarkStart w:id="52" w:name="adoption-outlook"/>
    <w:p>
      <w:pPr>
        <w:pStyle w:val="Heading2"/>
      </w:pPr>
      <w:r>
        <w:t xml:space="preserve">Adoption Outlook</w:t>
      </w:r>
    </w:p>
    <w:p>
      <w:pPr>
        <w:pStyle w:val="FirstParagraph"/>
      </w:pPr>
      <w:r>
        <w:t xml:space="preserve">The batch shows steady but mostly grassroots expansion in Bitcoin payments: a 24/7 gym in Maputo, businesses at a fair in La Paz, and additional BTC Map-linked merchants surfaced through social posts and purchase demonstrations [1, 2, 7, 8]. Infrastructure progress was more diverse than merchant scale, spanning offline USSD remittances and early machine-to-machine payment tools for AI agents [5, 6].</w:t>
      </w:r>
    </w:p>
    <w:p>
      <w:pPr>
        <w:pStyle w:val="BodyText"/>
      </w:pPr>
      <w:r>
        <w:t xml:space="preserve">The main limitation remains evidence quality. The notes provide one disclosed payment figure — 1.5 million sats for compute — but little merchant throughput data, and no new regulatory changes were identified in the source set [6].</w:t>
      </w:r>
    </w:p>
    <w:p>
      <w:r>
        <w:pict>
          <v:rect style="width:0;height:1.5pt" o:hralign="center" o:hrstd="t" o:hr="t"/>
        </w:pict>
      </w:r>
    </w:p>
    <w:bookmarkStart w:id="51" w:name="sources"/>
    <w:p>
      <w:pPr>
        <w:pStyle w:val="Heading3"/>
      </w:pPr>
      <w:r>
        <w:t xml:space="preserve">Sources</w:t>
      </w:r>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@BitcoinFamba</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@BitTaskerdotcom</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@njelsalvador</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@rurbit</w:t>
        </w:r>
      </w:hyperlink>
    </w:p>
    <w:p>
      <w:pPr>
        <w:numPr>
          <w:ilvl w:val="0"/>
          <w:numId w:val="1002"/>
        </w:numPr>
        <w:pStyle w:val="Compact"/>
      </w:pPr>
      <w:hyperlink r:id="rId46">
        <w:r>
          <w:rPr>
            <w:rStyle w:val="Hyperlink"/>
          </w:rPr>
          <w:t xml:space="preserve">Why AI Agents Want Bitcoin | Bitcoin 2026</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@BrindonMwiine</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@AfribitKibera</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46" Target="https://www.youtube.com/watch?v=ApuXgFoKkQc" TargetMode="External" /><Relationship Type="http://schemas.openxmlformats.org/officeDocument/2006/relationships/hyperlink" Id="rId50" Target="https://x.com/AfribitKibera/status/2053386913785020715" TargetMode="External" /><Relationship Type="http://schemas.openxmlformats.org/officeDocument/2006/relationships/hyperlink" Id="rId47" Target="https://x.com/BitBiashara/status/2053418713924182221" TargetMode="External" /><Relationship Type="http://schemas.openxmlformats.org/officeDocument/2006/relationships/hyperlink" Id="rId48" Target="https://x.com/BitBiashara/status/2053542447385309429" TargetMode="External" /><Relationship Type="http://schemas.openxmlformats.org/officeDocument/2006/relationships/hyperlink" Id="rId43" Target="https://x.com/BitTaskerdotcom/status/2053385425931141182" TargetMode="External" /><Relationship Type="http://schemas.openxmlformats.org/officeDocument/2006/relationships/hyperlink" Id="rId41" Target="https://x.com/BitcoinFamba/status/2053576927001133330" TargetMode="External" /><Relationship Type="http://schemas.openxmlformats.org/officeDocument/2006/relationships/hyperlink" Id="rId49" Target="https://x.com/BrindonMwiine/status/2053192296317825406" TargetMode="External" /><Relationship Type="http://schemas.openxmlformats.org/officeDocument/2006/relationships/hyperlink" Id="rId42" Target="https://x.com/bitcoinr3/status/2053535157114564988" TargetMode="External" /><Relationship Type="http://schemas.openxmlformats.org/officeDocument/2006/relationships/hyperlink" Id="rId44" Target="https://x.com/njelsalvador/status/2053597390180147663" TargetMode="External" /><Relationship Type="http://schemas.openxmlformats.org/officeDocument/2006/relationships/hyperlink" Id="rId45" Target="https://x.com/rurbit/status/2052771370463899889" TargetMode="External" /><Relationship Type="http://schemas.openxmlformats.org/officeDocument/2006/relationships/hyperlink" Id="rId28" Target="https://youtube.com/watch?v=ApuXgFoKkQc&amp;t=360" TargetMode="External" /></Relationships>
</file>

<file path=word/_rels/footnotes.xml.rels><?xml version="1.0" encoding="UTF-8"?><Relationships xmlns="http://schemas.openxmlformats.org/package/2006/relationships"><Relationship Type="http://schemas.openxmlformats.org/officeDocument/2006/relationships/hyperlink" Id="rId46" Target="https://www.youtube.com/watch?v=ApuXgFoKkQc" TargetMode="External" /><Relationship Type="http://schemas.openxmlformats.org/officeDocument/2006/relationships/hyperlink" Id="rId50" Target="https://x.com/AfribitKibera/status/2053386913785020715" TargetMode="External" /><Relationship Type="http://schemas.openxmlformats.org/officeDocument/2006/relationships/hyperlink" Id="rId47" Target="https://x.com/BitBiashara/status/2053418713924182221" TargetMode="External" /><Relationship Type="http://schemas.openxmlformats.org/officeDocument/2006/relationships/hyperlink" Id="rId48" Target="https://x.com/BitBiashara/status/2053542447385309429" TargetMode="External" /><Relationship Type="http://schemas.openxmlformats.org/officeDocument/2006/relationships/hyperlink" Id="rId43" Target="https://x.com/BitTaskerdotcom/status/2053385425931141182" TargetMode="External" /><Relationship Type="http://schemas.openxmlformats.org/officeDocument/2006/relationships/hyperlink" Id="rId41" Target="https://x.com/BitcoinFamba/status/2053576927001133330" TargetMode="External" /><Relationship Type="http://schemas.openxmlformats.org/officeDocument/2006/relationships/hyperlink" Id="rId49" Target="https://x.com/BrindonMwiine/status/2053192296317825406" TargetMode="External" /><Relationship Type="http://schemas.openxmlformats.org/officeDocument/2006/relationships/hyperlink" Id="rId42" Target="https://x.com/bitcoinr3/status/2053535157114564988" TargetMode="External" /><Relationship Type="http://schemas.openxmlformats.org/officeDocument/2006/relationships/hyperlink" Id="rId44" Target="https://x.com/njelsalvador/status/2053597390180147663" TargetMode="External" /><Relationship Type="http://schemas.openxmlformats.org/officeDocument/2006/relationships/hyperlink" Id="rId45" Target="https://x.com/rurbit/status/2052771370463899889" TargetMode="External" /><Relationship Type="http://schemas.openxmlformats.org/officeDocument/2006/relationships/hyperlink" Id="rId28" Target="https://youtube.com/watch?v=ApuXgFoKkQc&amp;t=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Maputo and La Paz Add Bitcoin Spend Options as Offline and AI Payment Rails Advance</dc:title>
  <dc:creator>Bitcoin Payment Adoption Tracker</dc:creator>
  <cp:keywords/>
  <dcterms:created xsi:type="dcterms:W3CDTF">2026-05-19T05:12:08Z</dcterms:created>
  <dcterms:modified xsi:type="dcterms:W3CDTF">2026-05-19T05:12:08Z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2026-05-11</vt:lpwstr>
  </property>
</Properties>
</file>