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 AI Benchmark Claims Face Scrutiny as Sakana AI Launches Translation Tool</w:t>
      </w:r>
    </w:p>
    <w:p>
      <w:pPr>
        <w:pStyle w:val="Author"/>
      </w:pPr>
      <w:r>
        <w:t xml:space="preserve">AI News Digest</w:t>
      </w:r>
    </w:p>
    <w:p>
      <w:pPr>
        <w:pStyle w:val="Date"/>
      </w:pPr>
      <w:r>
        <w:t xml:space="preserve">2026-07-06</w:t>
      </w:r>
    </w:p>
    <w:bookmarkStart w:id="37" w:name="X9c05af70ff53fbd05f7d43dd6b184feffd9e177"/>
    <w:p>
      <w:pPr>
        <w:pStyle w:val="Heading1"/>
      </w:pPr>
      <w:r>
        <w:t xml:space="preserve">Medical AI Benchmark Claims Face Scrutiny as Sakana AI Launches Translation Tool</w:t>
      </w:r>
    </w:p>
    <w:p>
      <w:pPr>
        <w:pStyle w:val="FirstParagraph"/>
      </w:pPr>
      <w:r>
        <w:rPr>
          <w:iCs/>
          <w:i/>
        </w:rPr>
        <w:t xml:space="preserve">By AI News Digest • July 6, 2026</w:t>
      </w:r>
    </w:p>
    <w:p>
      <w:pPr>
        <w:pStyle w:val="BodyText"/>
      </w:pPr>
      <w:r>
        <w:t xml:space="preserve">A Nature Medicine-linked critique sharpened the distinction between benchmark success and trustworthy medical AI, while broader commentary argued that today’s models still lag on research judgment despite strong coding gains. Separately, Sakana AI launched a new translation tool aimed at preserving tone and cultural nuance across Japanese, English, and Chinese.</w:t>
      </w:r>
    </w:p>
    <w:bookmarkStart w:id="23" w:name="X16c9f732ae53b093edd2253c06ced57ded68cd0"/>
    <w:p>
      <w:pPr>
        <w:pStyle w:val="Heading2"/>
      </w:pPr>
      <w:r>
        <w:t xml:space="preserve">The main theme today: benchmark wins and coding gains are meeting harder questions</w:t>
      </w:r>
    </w:p>
    <w:bookmarkStart w:id="21" w:name="X4cc06a79de625bf57cb387de2d2bc8d93c8a744"/>
    <w:p>
      <w:pPr>
        <w:pStyle w:val="Heading3"/>
      </w:pPr>
      <w:r>
        <w:t xml:space="preserve">Medical AI benchmark success is being separated from real-world readiness</w:t>
      </w:r>
    </w:p>
    <w:p>
      <w:pPr>
        <w:pStyle w:val="FirstParagraph"/>
      </w:pPr>
      <w:r>
        <w:t xml:space="preserve">Eric Topol highlighted a</w:t>
      </w:r>
      <w:r>
        <w:t xml:space="preserve"> </w:t>
      </w:r>
      <w:hyperlink r:id="rId20">
        <w:r>
          <w:rPr>
            <w:rStyle w:val="Hyperlink"/>
          </w:rPr>
          <w:t xml:space="preserve">Nature Medicine paper</w:t>
        </w:r>
      </w:hyperlink>
      <w:r>
        <w:t xml:space="preserve"> </w:t>
      </w:r>
      <w:r>
        <w:t xml:space="preserve">and said current medical AI evidence still comes from simulations, case vignettes, and patient actors rather than real-world medicine [1]. Gary Marcus separately amplified the editors’ conclusion that benchmark success can be mistaken for real readiness, and that impressive scores are not the same as trustworthy capability [2].</w:t>
      </w:r>
    </w:p>
    <w:p>
      <w:pPr>
        <w:pStyle w:val="BlockText"/>
      </w:pPr>
      <w:r>
        <w:t xml:space="preserve">“</w:t>
      </w:r>
      <w:r>
        <w:t xml:space="preserve">This study cuts through the optimism surrounding medical AI by showing how easily benchmark success can be mistaken for real readiness. In medical AI, impressive scores are clearly not the same as trustworthy capability.</w:t>
      </w:r>
      <w:r>
        <w:t xml:space="preserve">”</w:t>
      </w:r>
      <w:r>
        <w:t xml:space="preserve"> </w:t>
      </w:r>
      <w:r>
        <w:t xml:space="preserve">[2]</w:t>
      </w:r>
    </w:p>
    <w:p>
      <w:pPr>
        <w:pStyle w:val="FirstParagraph"/>
      </w:pPr>
      <w:r>
        <w:rPr>
          <w:bCs/>
          <w:b/>
        </w:rPr>
        <w:t xml:space="preserve">Why it matters:</w:t>
      </w:r>
      <w:r>
        <w:t xml:space="preserve"> </w:t>
      </w:r>
      <w:r>
        <w:t xml:space="preserve">The emphasis here is shifting toward whether evaluation methods actually reflect trustworthy capability, not just whether systems score well on controlled tests [2, 1].</w:t>
      </w:r>
    </w:p>
    <w:bookmarkEnd w:id="21"/>
    <w:bookmarkStart w:id="22" w:name="X1099f9c80538ea1d2d339adba4724e2f9f4f26f"/>
    <w:p>
      <w:pPr>
        <w:pStyle w:val="Heading3"/>
      </w:pPr>
      <w:r>
        <w:t xml:space="preserve">Strong coding performance is not translating into automated research judgment</w:t>
      </w:r>
    </w:p>
    <w:p>
      <w:pPr>
        <w:pStyle w:val="FirstParagraph"/>
      </w:pPr>
      <w:r>
        <w:t xml:space="preserve">Gary Marcus pointed to claims that GPT-5.5-xhigh is</w:t>
      </w:r>
      <w:r>
        <w:t xml:space="preserve"> </w:t>
      </w:r>
      <w:r>
        <w:t xml:space="preserve">“</w:t>
      </w:r>
      <w:r>
        <w:t xml:space="preserve">not even close to being an automated researcher</w:t>
      </w:r>
      <w:r>
        <w:t xml:space="preserve">”</w:t>
      </w:r>
      <w:r>
        <w:t xml:space="preserve"> </w:t>
      </w:r>
      <w:r>
        <w:t xml:space="preserve">and should not be relied on for experiment-design advice because the models have</w:t>
      </w:r>
      <w:r>
        <w:t xml:space="preserve"> </w:t>
      </w:r>
      <w:r>
        <w:t xml:space="preserve">“</w:t>
      </w:r>
      <w:r>
        <w:t xml:space="preserve">0 taste</w:t>
      </w:r>
      <w:r>
        <w:t xml:space="preserve">”</w:t>
      </w:r>
      <w:r>
        <w:t xml:space="preserve"> </w:t>
      </w:r>
      <w:r>
        <w:t xml:space="preserve">[3]. In a separate example, he contrasted AI’s strong coding ability with weaker research ability, citing a case where Codex returned only single-sentence quotes when asked for paragraph-length ones, and framed that gap as a problem for any vision of recursive self-improvement that depends on scientific taste [4, 5, 6].</w:t>
      </w:r>
    </w:p>
    <w:p>
      <w:pPr>
        <w:pStyle w:val="BodyText"/>
      </w:pPr>
      <w:r>
        <w:rPr>
          <w:bCs/>
          <w:b/>
        </w:rPr>
        <w:t xml:space="preserve">Why it matters:</w:t>
      </w:r>
      <w:r>
        <w:t xml:space="preserve"> </w:t>
      </w:r>
      <w:r>
        <w:t xml:space="preserve">The critique is specific: models may look strong in coding while still falling short on higher-level research tasks that depend on judgment, evidence gathering, and experiment design [3, 4, 6].</w:t>
      </w:r>
    </w:p>
    <w:bookmarkEnd w:id="22"/>
    <w:bookmarkEnd w:id="23"/>
    <w:bookmarkStart w:id="36" w:name="product-release-to-watch"/>
    <w:p>
      <w:pPr>
        <w:pStyle w:val="Heading2"/>
      </w:pPr>
      <w:r>
        <w:t xml:space="preserve">Product release to watch</w:t>
      </w:r>
    </w:p>
    <w:bookmarkStart w:id="26" w:name="Xb3006dee3b56aaf1261f7e9c866b4aa53f45a6d"/>
    <w:p>
      <w:pPr>
        <w:pStyle w:val="Heading3"/>
      </w:pPr>
      <w:r>
        <w:t xml:space="preserve">Sakana AI launched a tri-language translation tool inside Sakana Chat</w:t>
      </w:r>
    </w:p>
    <w:p>
      <w:pPr>
        <w:pStyle w:val="FirstParagraph"/>
      </w:pPr>
      <w:r>
        <w:t xml:space="preserve">Sakana AI added</w:t>
      </w:r>
      <w:r>
        <w:t xml:space="preserve"> </w:t>
      </w:r>
      <w:r>
        <w:rPr>
          <w:bCs/>
          <w:b/>
        </w:rPr>
        <w:t xml:space="preserve">Sakana Translate</w:t>
      </w:r>
      <w:r>
        <w:t xml:space="preserve"> </w:t>
      </w:r>
      <w:r>
        <w:t xml:space="preserve">to Sakana Chat with bidirectional translation between Japanese, English, and Chinese [7, 8]. The company says the tool is designed to preserve context and tone, including Japanese business honorifics, cultural concepts, and internet slang that standard translation tools often miss [8].</w:t>
      </w:r>
    </w:p>
    <w:p>
      <w:pPr>
        <w:pStyle w:val="BodyText"/>
      </w:pPr>
      <w:r>
        <w:rPr>
          <w:bCs/>
          <w:b/>
        </w:rPr>
        <w:t xml:space="preserve">Why it matters:</w:t>
      </w:r>
      <w:r>
        <w:t xml:space="preserve"> </w:t>
      </w:r>
      <w:r>
        <w:t xml:space="preserve">The release is positioned around translation quality in nuance-heavy language use, rather than simple literal conversion [8].</w:t>
      </w:r>
    </w:p>
    <w:p>
      <w:pPr>
        <w:pStyle w:val="BodyText"/>
      </w:pPr>
      <w:r>
        <w:t xml:space="preserve">Try it at</w:t>
      </w:r>
      <w:r>
        <w:t xml:space="preserve"> </w:t>
      </w:r>
      <w:hyperlink r:id="rId24">
        <w:r>
          <w:rPr>
            <w:rStyle w:val="Hyperlink"/>
          </w:rPr>
          <w:t xml:space="preserve">translate.sakana.ai</w:t>
        </w:r>
      </w:hyperlink>
      <w:r>
        <w:t xml:space="preserve"> </w:t>
      </w:r>
      <w:r>
        <w:t xml:space="preserve">[7]; release notes are</w:t>
      </w:r>
      <w:r>
        <w:t xml:space="preserve"> </w:t>
      </w:r>
      <w:hyperlink r:id="rId25">
        <w:r>
          <w:rPr>
            <w:rStyle w:val="Hyperlink"/>
          </w:rPr>
          <w:t xml:space="preserve">here</w:t>
        </w:r>
      </w:hyperlink>
      <w:r>
        <w:t xml:space="preserve"> </w:t>
      </w:r>
      <w:r>
        <w:t xml:space="preserve">[8].</w:t>
      </w:r>
    </w:p>
    <w:p>
      <w:r>
        <w:pict>
          <v:rect style="width:0;height:1.5pt" o:hralign="center" o:hrstd="t" o:hr="t"/>
        </w:pict>
      </w:r>
    </w:p>
    <w:bookmarkEnd w:id="26"/>
    <w:bookmarkStart w:id="35"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@EricTopol</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@scaling01</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@LakeDaniel11</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@hardmaru</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sakana.ai/translate-release/#English" TargetMode="External" /><Relationship Type="http://schemas.openxmlformats.org/officeDocument/2006/relationships/hyperlink" Id="rId24" Target="https://translate.sakana.ai" TargetMode="External" /><Relationship Type="http://schemas.openxmlformats.org/officeDocument/2006/relationships/hyperlink" Id="rId20" Target="https://www.nature.com/articles/s41591-026-04501-8" TargetMode="External" /><Relationship Type="http://schemas.openxmlformats.org/officeDocument/2006/relationships/hyperlink" Id="rId27" Target="https://x.com/EricTopol/status/2073877825116123398" TargetMode="External" /><Relationship Type="http://schemas.openxmlformats.org/officeDocument/2006/relationships/hyperlink" Id="rId31" Target="https://x.com/GaryMarcus/status/2073867593107337581" TargetMode="External" /><Relationship Type="http://schemas.openxmlformats.org/officeDocument/2006/relationships/hyperlink" Id="rId28" Target="https://x.com/GaryMarcus/status/2073988672782053541" TargetMode="External" /><Relationship Type="http://schemas.openxmlformats.org/officeDocument/2006/relationships/hyperlink" Id="rId32" Target="https://x.com/GaryMarcus/status/2074001671559229721" TargetMode="External" /><Relationship Type="http://schemas.openxmlformats.org/officeDocument/2006/relationships/hyperlink" Id="rId30" Target="https://x.com/LakeDaniel11/status/2073863300702408930" TargetMode="External" /><Relationship Type="http://schemas.openxmlformats.org/officeDocument/2006/relationships/hyperlink" Id="rId33" Target="https://x.com/SakanaAILabs/status/2073929445493371101" TargetMode="External" /><Relationship Type="http://schemas.openxmlformats.org/officeDocument/2006/relationships/hyperlink" Id="rId34" Target="https://x.com/hardmaru/status/2073936481752940786" TargetMode="External" /><Relationship Type="http://schemas.openxmlformats.org/officeDocument/2006/relationships/hyperlink" Id="rId29" Target="https://x.com/scaling01/status/2073913432508633452" TargetMode="External" /></Relationships>
</file>

<file path=word/_rels/footnotes.xml.rels><?xml version="1.0" encoding="UTF-8"?><Relationships xmlns="http://schemas.openxmlformats.org/package/2006/relationships"><Relationship Type="http://schemas.openxmlformats.org/officeDocument/2006/relationships/hyperlink" Id="rId25" Target="https://sakana.ai/translate-release/#English" TargetMode="External" /><Relationship Type="http://schemas.openxmlformats.org/officeDocument/2006/relationships/hyperlink" Id="rId24" Target="https://translate.sakana.ai" TargetMode="External" /><Relationship Type="http://schemas.openxmlformats.org/officeDocument/2006/relationships/hyperlink" Id="rId20" Target="https://www.nature.com/articles/s41591-026-04501-8" TargetMode="External" /><Relationship Type="http://schemas.openxmlformats.org/officeDocument/2006/relationships/hyperlink" Id="rId27" Target="https://x.com/EricTopol/status/2073877825116123398" TargetMode="External" /><Relationship Type="http://schemas.openxmlformats.org/officeDocument/2006/relationships/hyperlink" Id="rId31" Target="https://x.com/GaryMarcus/status/2073867593107337581" TargetMode="External" /><Relationship Type="http://schemas.openxmlformats.org/officeDocument/2006/relationships/hyperlink" Id="rId28" Target="https://x.com/GaryMarcus/status/2073988672782053541" TargetMode="External" /><Relationship Type="http://schemas.openxmlformats.org/officeDocument/2006/relationships/hyperlink" Id="rId32" Target="https://x.com/GaryMarcus/status/2074001671559229721" TargetMode="External" /><Relationship Type="http://schemas.openxmlformats.org/officeDocument/2006/relationships/hyperlink" Id="rId30" Target="https://x.com/LakeDaniel11/status/2073863300702408930" TargetMode="External" /><Relationship Type="http://schemas.openxmlformats.org/officeDocument/2006/relationships/hyperlink" Id="rId33" Target="https://x.com/SakanaAILabs/status/2073929445493371101" TargetMode="External" /><Relationship Type="http://schemas.openxmlformats.org/officeDocument/2006/relationships/hyperlink" Id="rId34" Target="https://x.com/hardmaru/status/2073936481752940786" TargetMode="External" /><Relationship Type="http://schemas.openxmlformats.org/officeDocument/2006/relationships/hyperlink" Id="rId29" Target="https://x.com/scaling01/status/20739134325086334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AI Benchmark Claims Face Scrutiny as Sakana AI Launches Translation Tool</dc:title>
  <dc:creator>AI News Digest</dc:creator>
  <cp:keywords/>
  <dcterms:created xsi:type="dcterms:W3CDTF">2026-07-06T18:05:49Z</dcterms:created>
  <dcterms:modified xsi:type="dcterms:W3CDTF">2026-07-06T18:05:49Z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2026-07-06</vt:lpwstr>
  </property>
</Properties>
</file>