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Meta Reopens the Open-Weight Race Around Local Agents</w:t>
      </w:r>
    </w:p>
    <w:p>
      <w:pPr>
        <w:pStyle w:val="Author"/>
      </w:pPr>
      <w:r>
        <w:t xml:space="preserve">AI High Signal Digest</w:t>
      </w:r>
    </w:p>
    <w:p>
      <w:pPr>
        <w:pStyle w:val="Date"/>
      </w:pPr>
      <w:r>
        <w:t xml:space="preserve">2026-08-11</w:t>
      </w:r>
    </w:p>
    <w:bookmarkStart w:id="48" w:name="X315553136e29a6fa46501eb09e102a832c6b9b4"/>
    <w:p>
      <w:pPr>
        <w:pStyle w:val="Heading1"/>
      </w:pPr>
      <w:r>
        <w:t xml:space="preserve">Meta Reopens the Open-Weight Race Around Local Agents</w:t>
      </w:r>
    </w:p>
    <w:p>
      <w:pPr>
        <w:pStyle w:val="FirstParagraph"/>
      </w:pPr>
      <w:r>
        <w:rPr>
          <w:iCs/>
          <w:i/>
        </w:rPr>
        <w:t xml:space="preserve">By AI High Signal Digest • August 11, 2026</w:t>
      </w:r>
    </w:p>
    <w:p>
      <w:pPr>
        <w:pStyle w:val="BodyText"/>
      </w:pPr>
      <w:r>
        <w:t xml:space="preserve">Meta’s Muse Glimmer combines Apache 2.0 weights, consumer-hardware deployment, and competitive but uneven benchmark results. The brief also tracks controlled cyber capability, AI-assisted science, and the financing and compliance layers forming around deployment.</w:t>
      </w:r>
    </w:p>
    <w:bookmarkStart w:id="20" w:name="top-stories"/>
    <w:p>
      <w:pPr>
        <w:pStyle w:val="Heading2"/>
      </w:pPr>
      <w:r>
        <w:t xml:space="preserve">Top Stories</w:t>
      </w:r>
    </w:p>
    <w:p>
      <w:pPr>
        <w:pStyle w:val="FirstParagraph"/>
      </w:pPr>
      <w:r>
        <w:rPr>
          <w:iCs/>
          <w:i/>
        </w:rPr>
        <w:t xml:space="preserve">Why it matters: Open weights and tightly controlled access are becoming strategic distribution choices for AI capability.</w:t>
      </w:r>
    </w:p>
    <w:p>
      <w:pPr>
        <w:pStyle w:val="BodyText"/>
      </w:pPr>
      <w:r>
        <w:rPr>
          <w:bCs/>
          <w:b/>
        </w:rPr>
        <w:t xml:space="preserve">Meta has re-entered open weights with Muse Glimmer</w:t>
      </w:r>
      <w:r>
        <w:t xml:space="preserve">, a 30B dense model for local, always-on agents, released under Apache 2.0 and designed for consumer hardware; Meta says Muse Spark 1.2 weights will follow. [1, 2] Artificial Analysis scores Glimmer 35 on its Intelligence Index, 21 points above Llama 4 Maverick; it is five points above same-size Gemma 4 and effectively matches 1T-parameter Kimi K2.5 with 33× fewer parameters. But its 953 GDPval Elo trails Qwen3.6 and Gemini 3.5 Flash-Lite at 1,141, while its hallucination rate is 82% versus Qwen’s 49%—a strong local deployment and licensing signal, not an across-the-board frontier win. [3]</w:t>
      </w:r>
    </w:p>
    <w:p>
      <w:pPr>
        <w:pStyle w:val="BodyText"/>
      </w:pPr>
      <w:r>
        <w:rPr>
          <w:bCs/>
          <w:b/>
        </w:rPr>
        <w:t xml:space="preserve">OpenAI expanded Daybreak with GPT-5.6-Cyber</w:t>
      </w:r>
      <w:r>
        <w:t xml:space="preserve"> </w:t>
      </w:r>
      <w:r>
        <w:t xml:space="preserve">for advanced, authorized cybersecurity work. Blue gives defenders frontier models for vulnerability discovery, secure code review, malware analysis, incident response, and patch validation; Red adds purpose-trained models for authorized vulnerability research, exploit validation, and testing. OpenAI says the model helped uncover previously unknown vulnerabilities in Chrome’s V8 engine, while access is limited to approved defenders with additional controls and monitoring. [4, 5, 6, 7, 8]</w:t>
      </w:r>
    </w:p>
    <w:bookmarkEnd w:id="20"/>
    <w:bookmarkStart w:id="21" w:name="research-innovation"/>
    <w:p>
      <w:pPr>
        <w:pStyle w:val="Heading2"/>
      </w:pPr>
      <w:r>
        <w:t xml:space="preserve">Research &amp; Innovation</w:t>
      </w:r>
    </w:p>
    <w:p>
      <w:pPr>
        <w:pStyle w:val="FirstParagraph"/>
      </w:pPr>
      <w:r>
        <w:rPr>
          <w:iCs/>
          <w:i/>
        </w:rPr>
        <w:t xml:space="preserve">Why it matters: The useful gains are coming from verifiable workflows and agent architecture, not only larger models.</w:t>
      </w:r>
    </w:p>
    <w:p>
      <w:pPr>
        <w:pStyle w:val="BodyText"/>
      </w:pPr>
      <w:r>
        <w:t xml:space="preserve">Anthropic says an unreleased Claude did not solve the Riemann hypothesis, but raised the lower bound for zeta-function zeros satisfying it from 41.6% to 67.2%. That is progress on a related problem, not a solved theorem. [9]</w:t>
      </w:r>
    </w:p>
    <w:p>
      <w:pPr>
        <w:pStyle w:val="BodyText"/>
      </w:pPr>
      <w:r>
        <w:t xml:space="preserve">A BFCL v4 comparison across 14 models found programmatic tool calling—typed Python stubs executed in one agent turn—matched or beat native JSON in 11; GPT-5.6 gained 10.6%. Under parallel fan-out it won 13/14, and under context rot the JSON baseline fell 2.3% on average. Interface design is becoming a capability variable. [10]</w:t>
      </w:r>
    </w:p>
    <w:bookmarkEnd w:id="21"/>
    <w:bookmarkStart w:id="22" w:name="products-launches"/>
    <w:p>
      <w:pPr>
        <w:pStyle w:val="Heading2"/>
      </w:pPr>
      <w:r>
        <w:t xml:space="preserve">Products &amp; Launches</w:t>
      </w:r>
    </w:p>
    <w:p>
      <w:pPr>
        <w:pStyle w:val="FirstParagraph"/>
      </w:pPr>
      <w:r>
        <w:rPr>
          <w:iCs/>
          <w:i/>
        </w:rPr>
        <w:t xml:space="preserve">Why it matters: Video systems are moving from generation toward controllable, multi-reference production workflows.</w:t>
      </w:r>
    </w:p>
    <w:p>
      <w:pPr>
        <w:pStyle w:val="BodyText"/>
      </w:pPr>
      <w:r>
        <w:t xml:space="preserve">Google’s Gemini Omni Flash creates and edits video from text, image, video, or audio references. Its demos include camera and environment changes plus voice-controlled edits that preserve scene coherence. [11, 12]</w:t>
      </w:r>
    </w:p>
    <w:p>
      <w:pPr>
        <w:pStyle w:val="BodyText"/>
      </w:pPr>
      <w:r>
        <w:t xml:space="preserve">ByteDance’s Seedance 2.5 is live on fal with text-, image-, and reference-to-video modes; a demo turns a still image and red squiggle into a continuous FPV route without keyframing. [13, 14]</w:t>
      </w:r>
    </w:p>
    <w:bookmarkEnd w:id="22"/>
    <w:bookmarkStart w:id="23" w:name="industry-moves"/>
    <w:p>
      <w:pPr>
        <w:pStyle w:val="Heading2"/>
      </w:pPr>
      <w:r>
        <w:t xml:space="preserve">Industry Moves</w:t>
      </w:r>
    </w:p>
    <w:p>
      <w:pPr>
        <w:pStyle w:val="FirstParagraph"/>
      </w:pPr>
      <w:r>
        <w:rPr>
          <w:iCs/>
          <w:i/>
        </w:rPr>
        <w:t xml:space="preserve">Why it matters: AI deployment is attracting infrastructure finance and forcing enterprises to manage portfolios of agents rather than one assistant.</w:t>
      </w:r>
    </w:p>
    <w:p>
      <w:pPr>
        <w:pStyle w:val="BodyText"/>
      </w:pPr>
      <w:r>
        <w:t xml:space="preserve">NVIDIA announced financing platforms with Apollo, BlackRock, Blackstone, Brookfield, Goldman Sachs, and KKR intended to mobilize more than $500B of third-party capital over time. Huang’s framing shifts AI factories from project-by-project builds to productive infrastructure financed with long-term institutional capital; the figure is aggregate mobilization, not NVIDIA revenue or one fund, and the institutions underwrite deals independently. Compute is being packaged around expected demand, utilization, and cash flow. [15]</w:t>
      </w:r>
    </w:p>
    <w:p>
      <w:pPr>
        <w:pStyle w:val="BodyText"/>
      </w:pPr>
      <w:r>
        <w:t xml:space="preserve">Spotify opened Xirp in beta, an environment for running Claude Code, Gemini CLI, and Codex side by side; it has handled more than 36,000 internal coding-agent sessions. [16]</w:t>
      </w:r>
    </w:p>
    <w:bookmarkEnd w:id="23"/>
    <w:bookmarkStart w:id="24" w:name="policy-regulation"/>
    <w:p>
      <w:pPr>
        <w:pStyle w:val="Heading2"/>
      </w:pPr>
      <w:r>
        <w:t xml:space="preserve">Policy &amp; Regulation</w:t>
      </w:r>
    </w:p>
    <w:p>
      <w:pPr>
        <w:pStyle w:val="FirstParagraph"/>
      </w:pPr>
      <w:r>
        <w:rPr>
          <w:iCs/>
          <w:i/>
        </w:rPr>
        <w:t xml:space="preserve">Why it matters: Compliance is beginning to alter the substance of model outputs, not just their documentation.</w:t>
      </w:r>
    </w:p>
    <w:p>
      <w:pPr>
        <w:pStyle w:val="BodyText"/>
      </w:pPr>
      <w:r>
        <w:t xml:space="preserve">Anthropic says new Claude models will embed invisible watermarks in generated text worldwide. The watermark is part of the text, not metadata, can travel through copy/paste and some editing, and starts with models launched on or after August 2 under an EU AI Act code; current models are still being updated. [17]</w:t>
      </w:r>
    </w:p>
    <w:bookmarkEnd w:id="24"/>
    <w:bookmarkStart w:id="47" w:name="quick-takes"/>
    <w:p>
      <w:pPr>
        <w:pStyle w:val="Heading2"/>
      </w:pPr>
      <w:r>
        <w:t xml:space="preserve">Quick Takes</w:t>
      </w:r>
    </w:p>
    <w:p>
      <w:pPr>
        <w:pStyle w:val="FirstParagraph"/>
      </w:pPr>
      <w:r>
        <w:rPr>
          <w:iCs/>
          <w:i/>
        </w:rPr>
        <w:t xml:space="preserve">Why it matters: The smaller launches show competition spreading across image quality, inference pricing, and deployable open models.</w:t>
      </w:r>
    </w:p>
    <w:p>
      <w:pPr>
        <w:numPr>
          <w:ilvl w:val="0"/>
          <w:numId w:val="1001"/>
        </w:numPr>
        <w:pStyle w:val="Compact"/>
      </w:pPr>
      <w:r>
        <w:rPr>
          <w:bCs/>
          <w:b/>
        </w:rPr>
        <w:t xml:space="preserve">Image:</w:t>
      </w:r>
      <w:r>
        <w:t xml:space="preserve"> </w:t>
      </w:r>
      <w:r>
        <w:t xml:space="preserve">Microsoft’s MAI-Image-2.6 debuted #2 in Text-to-Image Arena at 1,336 points, 45 behind GPT Image 2 and up from MAI-Image-2.5’s #10; Playground and early Foundry API access are planned. [18]</w:t>
      </w:r>
    </w:p>
    <w:p>
      <w:pPr>
        <w:numPr>
          <w:ilvl w:val="0"/>
          <w:numId w:val="1001"/>
        </w:numPr>
        <w:pStyle w:val="Compact"/>
      </w:pPr>
      <w:r>
        <w:rPr>
          <w:bCs/>
          <w:b/>
        </w:rPr>
        <w:t xml:space="preserve">Pricing:</w:t>
      </w:r>
      <w:r>
        <w:t xml:space="preserve"> </w:t>
      </w:r>
      <w:r>
        <w:t xml:space="preserve">Claude Sonnet 5’s introductory rate—$2 per million input tokens and $10 per million output tokens—is now permanent. [19]</w:t>
      </w:r>
    </w:p>
    <w:p>
      <w:pPr>
        <w:numPr>
          <w:ilvl w:val="0"/>
          <w:numId w:val="1001"/>
        </w:numPr>
        <w:pStyle w:val="Compact"/>
      </w:pPr>
      <w:r>
        <w:rPr>
          <w:bCs/>
          <w:b/>
        </w:rPr>
        <w:t xml:space="preserve">Open weights:</w:t>
      </w:r>
      <w:r>
        <w:t xml:space="preserve"> </w:t>
      </w:r>
      <w:r>
        <w:t xml:space="preserve">Ling-3.0-tiny is available in BF16, FP8, and INT4, with Artificial Analysis scores of 25 Intelligence and 16 Agentic; vLLM has day-0 support. [20, 21]</w:t>
      </w:r>
    </w:p>
    <w:p>
      <w:r>
        <w:pict>
          <v:rect style="width:0;height:1.5pt" o:hralign="center" o:hrstd="t" o:hr="t"/>
        </w:pict>
      </w:r>
    </w:p>
    <w:bookmarkStart w:id="46"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@AIatMeta</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@alexandr_wang</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@dair_ai</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@Google</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@Google</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@fal</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@fal</w:t>
        </w:r>
      </w:hyperlink>
    </w:p>
    <w:p>
      <w:pPr>
        <w:numPr>
          <w:ilvl w:val="0"/>
          <w:numId w:val="1002"/>
        </w:numPr>
        <w:pStyle w:val="Compact"/>
      </w:pPr>
      <w:hyperlink r:id="rId39">
        <w:r>
          <w:rPr>
            <w:rStyle w:val="Hyperlink"/>
          </w:rPr>
          <w:t xml:space="preserve">𝕏 article by</w:t>
        </w:r>
        <w:r>
          <w:rPr>
            <w:rStyle w:val="Hyperlink"/>
          </w:rPr>
          <w:t xml:space="preserve"> </w:t>
        </w:r>
        <w:r>
          <w:rPr>
            <w:rStyle w:val="Hyperlink"/>
          </w:rPr>
          <w:t xml:space="preserve">@JensenHuang</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@TheRundownAI</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@M1Astra</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@arena</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@claudeai</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@AntLingAGI</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@vllm_project</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x.com/AIatMeta/status/2086757844544811485" TargetMode="External" /><Relationship Type="http://schemas.openxmlformats.org/officeDocument/2006/relationships/hyperlink" Id="rId44" Target="https://x.com/AntLingAGI/status/2086854604621554039" TargetMode="External" /><Relationship Type="http://schemas.openxmlformats.org/officeDocument/2006/relationships/hyperlink" Id="rId33" Target="https://x.com/AnthropicAI/status/2086867246073401655" TargetMode="External" /><Relationship Type="http://schemas.openxmlformats.org/officeDocument/2006/relationships/hyperlink" Id="rId27" Target="https://x.com/ArtificialAnlys/status/2086916150278111551" TargetMode="External" /><Relationship Type="http://schemas.openxmlformats.org/officeDocument/2006/relationships/hyperlink" Id="rId35" Target="https://x.com/Google/status/2086814383582118356" TargetMode="External" /><Relationship Type="http://schemas.openxmlformats.org/officeDocument/2006/relationships/hyperlink" Id="rId36" Target="https://x.com/Google/status/2086814385956098524" TargetMode="External" /><Relationship Type="http://schemas.openxmlformats.org/officeDocument/2006/relationships/hyperlink" Id="rId41" Target="https://x.com/M1Astra/status/2086898041882030353" TargetMode="External" /><Relationship Type="http://schemas.openxmlformats.org/officeDocument/2006/relationships/hyperlink" Id="rId28" Target="https://x.com/OpenAI/status/2086864365379010729" TargetMode="External" /><Relationship Type="http://schemas.openxmlformats.org/officeDocument/2006/relationships/hyperlink" Id="rId29" Target="https://x.com/OpenAI/status/2086864367719473560" TargetMode="External" /><Relationship Type="http://schemas.openxmlformats.org/officeDocument/2006/relationships/hyperlink" Id="rId30" Target="https://x.com/OpenAI/status/2086864369825329219" TargetMode="External" /><Relationship Type="http://schemas.openxmlformats.org/officeDocument/2006/relationships/hyperlink" Id="rId31" Target="https://x.com/OpenAI/status/2086864372500942906" TargetMode="External" /><Relationship Type="http://schemas.openxmlformats.org/officeDocument/2006/relationships/hyperlink" Id="rId32" Target="https://x.com/OpenAI/status/2086864374837150108" TargetMode="External" /><Relationship Type="http://schemas.openxmlformats.org/officeDocument/2006/relationships/hyperlink" Id="rId40" Target="https://x.com/TheRundownAI/status/2086859674192585068" TargetMode="External" /><Relationship Type="http://schemas.openxmlformats.org/officeDocument/2006/relationships/hyperlink" Id="rId26" Target="https://x.com/alexandr_wang/status/2086756152034066792" TargetMode="External" /><Relationship Type="http://schemas.openxmlformats.org/officeDocument/2006/relationships/hyperlink" Id="rId42" Target="https://x.com/arena/status/2086943856289853931" TargetMode="External" /><Relationship Type="http://schemas.openxmlformats.org/officeDocument/2006/relationships/hyperlink" Id="rId43" Target="https://x.com/claudeai/status/2086891169217122586" TargetMode="External" /><Relationship Type="http://schemas.openxmlformats.org/officeDocument/2006/relationships/hyperlink" Id="rId34" Target="https://x.com/dair_ai/status/2086846794840019178" TargetMode="External" /><Relationship Type="http://schemas.openxmlformats.org/officeDocument/2006/relationships/hyperlink" Id="rId37" Target="https://x.com/fal/status/2086943214582251814" TargetMode="External" /><Relationship Type="http://schemas.openxmlformats.org/officeDocument/2006/relationships/hyperlink" Id="rId38" Target="https://x.com/fal/status/2086943215777620281" TargetMode="External" /><Relationship Type="http://schemas.openxmlformats.org/officeDocument/2006/relationships/hyperlink" Id="rId39" Target="https://x.com/i/article/2086933422921117696" TargetMode="External" /><Relationship Type="http://schemas.openxmlformats.org/officeDocument/2006/relationships/hyperlink" Id="rId45" Target="https://x.com/vllm_project/status/2086860664153518428" TargetMode="External" /></Relationships>
</file>

<file path=word/_rels/footnotes.xml.rels><?xml version="1.0" encoding="UTF-8"?><Relationships xmlns="http://schemas.openxmlformats.org/package/2006/relationships"><Relationship Type="http://schemas.openxmlformats.org/officeDocument/2006/relationships/hyperlink" Id="rId25" Target="https://x.com/AIatMeta/status/2086757844544811485" TargetMode="External" /><Relationship Type="http://schemas.openxmlformats.org/officeDocument/2006/relationships/hyperlink" Id="rId44" Target="https://x.com/AntLingAGI/status/2086854604621554039" TargetMode="External" /><Relationship Type="http://schemas.openxmlformats.org/officeDocument/2006/relationships/hyperlink" Id="rId33" Target="https://x.com/AnthropicAI/status/2086867246073401655" TargetMode="External" /><Relationship Type="http://schemas.openxmlformats.org/officeDocument/2006/relationships/hyperlink" Id="rId27" Target="https://x.com/ArtificialAnlys/status/2086916150278111551" TargetMode="External" /><Relationship Type="http://schemas.openxmlformats.org/officeDocument/2006/relationships/hyperlink" Id="rId35" Target="https://x.com/Google/status/2086814383582118356" TargetMode="External" /><Relationship Type="http://schemas.openxmlformats.org/officeDocument/2006/relationships/hyperlink" Id="rId36" Target="https://x.com/Google/status/2086814385956098524" TargetMode="External" /><Relationship Type="http://schemas.openxmlformats.org/officeDocument/2006/relationships/hyperlink" Id="rId41" Target="https://x.com/M1Astra/status/2086898041882030353" TargetMode="External" /><Relationship Type="http://schemas.openxmlformats.org/officeDocument/2006/relationships/hyperlink" Id="rId28" Target="https://x.com/OpenAI/status/2086864365379010729" TargetMode="External" /><Relationship Type="http://schemas.openxmlformats.org/officeDocument/2006/relationships/hyperlink" Id="rId29" Target="https://x.com/OpenAI/status/2086864367719473560" TargetMode="External" /><Relationship Type="http://schemas.openxmlformats.org/officeDocument/2006/relationships/hyperlink" Id="rId30" Target="https://x.com/OpenAI/status/2086864369825329219" TargetMode="External" /><Relationship Type="http://schemas.openxmlformats.org/officeDocument/2006/relationships/hyperlink" Id="rId31" Target="https://x.com/OpenAI/status/2086864372500942906" TargetMode="External" /><Relationship Type="http://schemas.openxmlformats.org/officeDocument/2006/relationships/hyperlink" Id="rId32" Target="https://x.com/OpenAI/status/2086864374837150108" TargetMode="External" /><Relationship Type="http://schemas.openxmlformats.org/officeDocument/2006/relationships/hyperlink" Id="rId40" Target="https://x.com/TheRundownAI/status/2086859674192585068" TargetMode="External" /><Relationship Type="http://schemas.openxmlformats.org/officeDocument/2006/relationships/hyperlink" Id="rId26" Target="https://x.com/alexandr_wang/status/2086756152034066792" TargetMode="External" /><Relationship Type="http://schemas.openxmlformats.org/officeDocument/2006/relationships/hyperlink" Id="rId42" Target="https://x.com/arena/status/2086943856289853931" TargetMode="External" /><Relationship Type="http://schemas.openxmlformats.org/officeDocument/2006/relationships/hyperlink" Id="rId43" Target="https://x.com/claudeai/status/2086891169217122586" TargetMode="External" /><Relationship Type="http://schemas.openxmlformats.org/officeDocument/2006/relationships/hyperlink" Id="rId34" Target="https://x.com/dair_ai/status/2086846794840019178" TargetMode="External" /><Relationship Type="http://schemas.openxmlformats.org/officeDocument/2006/relationships/hyperlink" Id="rId37" Target="https://x.com/fal/status/2086943214582251814" TargetMode="External" /><Relationship Type="http://schemas.openxmlformats.org/officeDocument/2006/relationships/hyperlink" Id="rId38" Target="https://x.com/fal/status/2086943215777620281" TargetMode="External" /><Relationship Type="http://schemas.openxmlformats.org/officeDocument/2006/relationships/hyperlink" Id="rId39" Target="https://x.com/i/article/2086933422921117696" TargetMode="External" /><Relationship Type="http://schemas.openxmlformats.org/officeDocument/2006/relationships/hyperlink" Id="rId45" Target="https://x.com/vllm_project/status/208686066415351842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 Reopens the Open-Weight Race Around Local Agents</dc:title>
  <dc:creator>AI High Signal Digest</dc:creator>
  <cp:keywords/>
  <dcterms:created xsi:type="dcterms:W3CDTF">2026-08-11T13:06:16Z</dcterms:created>
  <dcterms:modified xsi:type="dcterms:W3CDTF">2026-08-11T13:06:16Z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2026-08-11</vt:lpwstr>
  </property>
</Properties>
</file>