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5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Moats in the AI era, limits of software “silver bullets,” and leadership under pressure</w:t>
      </w:r>
    </w:p>
    <w:p>
      <w:pPr>
        <w:pStyle w:val="Author"/>
      </w:pPr>
      <w:r>
        <w:t xml:space="preserve">Recommended Reading from Tech Founders</w:t>
      </w:r>
    </w:p>
    <w:p>
      <w:pPr>
        <w:pStyle w:val="Date"/>
      </w:pPr>
      <w:r>
        <w:t xml:space="preserve">2026-03-04</w:t>
      </w:r>
    </w:p>
    <w:bookmarkStart w:id="83" w:name="Xfea54e28ba27e89f1cf97de4395063d716ec2f7"/>
    <w:p>
      <w:pPr>
        <w:pStyle w:val="Heading1"/>
      </w:pPr>
      <w:r>
        <w:t xml:space="preserve">Moats in the AI era, limits of software</w:t>
      </w:r>
      <w:r>
        <w:t xml:space="preserve"> </w:t>
      </w:r>
      <w:r>
        <w:t xml:space="preserve">“</w:t>
      </w:r>
      <w:r>
        <w:t xml:space="preserve">silver bullets,</w:t>
      </w:r>
      <w:r>
        <w:t xml:space="preserve">”</w:t>
      </w:r>
      <w:r>
        <w:t xml:space="preserve"> </w:t>
      </w:r>
      <w:r>
        <w:t xml:space="preserve">and leadership under pressure</w:t>
      </w:r>
    </w:p>
    <w:p>
      <w:pPr>
        <w:pStyle w:val="FirstParagraph"/>
      </w:pPr>
      <w:r>
        <w:rPr>
          <w:iCs/>
          <w:i/>
        </w:rPr>
        <w:t xml:space="preserve">By Recommended Reading from Tech Founders • March 4, 2026</w:t>
      </w:r>
    </w:p>
    <w:p>
      <w:pPr>
        <w:pStyle w:val="BodyText"/>
      </w:pPr>
      <w:r>
        <w:t xml:space="preserve">Today’s strongest picks include Jeremy Howard’s reference to Fred Brooks’</w:t>
      </w:r>
      <w:r>
        <w:t xml:space="preserve"> </w:t>
      </w:r>
      <w:r>
        <w:t xml:space="preserve">“</w:t>
      </w:r>
      <w:r>
        <w:t xml:space="preserve">No Silver Bullet</w:t>
      </w:r>
      <w:r>
        <w:t xml:space="preserve">”</w:t>
      </w:r>
      <w:r>
        <w:t xml:space="preserve"> </w:t>
      </w:r>
      <w:r>
        <w:t xml:space="preserve">as a direct counterpoint to modern</w:t>
      </w:r>
      <w:r>
        <w:t xml:space="preserve"> </w:t>
      </w:r>
      <w:r>
        <w:t xml:space="preserve">“</w:t>
      </w:r>
      <w:r>
        <w:t xml:space="preserve">no more coders</w:t>
      </w:r>
      <w:r>
        <w:t xml:space="preserve">”</w:t>
      </w:r>
      <w:r>
        <w:t xml:space="preserve"> </w:t>
      </w:r>
      <w:r>
        <w:t xml:space="preserve">narratives, plus a thoughtful essay on AI-era moats, a psychology evergreen, and standout recommendations on leadership, geopolitics, and capital allocation.</w:t>
      </w:r>
    </w:p>
    <w:bookmarkStart w:id="30" w:name="X2c7c4ddf49f290835470b3afe31691870fdca02"/>
    <w:p>
      <w:pPr>
        <w:pStyle w:val="Heading2"/>
      </w:pPr>
      <w:r>
        <w:t xml:space="preserve">Most compelling recommendation: a reality check on</w:t>
      </w:r>
      <w:r>
        <w:t xml:space="preserve"> </w:t>
      </w:r>
      <w:r>
        <w:t xml:space="preserve">“</w:t>
      </w:r>
      <w:r>
        <w:t xml:space="preserve">no more engineers</w:t>
      </w:r>
      <w:r>
        <w:t xml:space="preserve">”</w:t>
      </w:r>
      <w:r>
        <w:t xml:space="preserve"> </w:t>
      </w:r>
      <w:r>
        <w:t xml:space="preserve">narratives</w:t>
      </w:r>
    </w:p>
    <w:bookmarkStart w:id="29" w:name="no-silver-bullet-essay-fred-brooks"/>
    <w:p>
      <w:pPr>
        <w:pStyle w:val="Heading3"/>
      </w:pPr>
      <w:r>
        <w:rPr>
          <w:iCs/>
          <w:i/>
        </w:rPr>
        <w:t xml:space="preserve">No Silver Bullet</w:t>
      </w:r>
      <w:r>
        <w:t xml:space="preserve"> </w:t>
      </w:r>
      <w:r>
        <w:t xml:space="preserve">(essay) —</w:t>
      </w:r>
      <w:r>
        <w:t xml:space="preserve"> </w:t>
      </w:r>
      <w:r>
        <w:rPr>
          <w:bCs/>
          <w:b/>
        </w:rPr>
        <w:t xml:space="preserve">Fred Brooks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Not provided (recommended in this video): https://www.youtube.com/watch?v=dHBEQ-Ryo24</w:t>
      </w:r>
      <w:r>
        <w:t xml:space="preserve"> </w:t>
      </w:r>
      <w:r>
        <w:rPr>
          <w:rStyle w:val="FootnoteReference"/>
        </w:rPr>
        <w:footnoteReference w:id="20"/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Recommended by:</w:t>
      </w:r>
      <w:r>
        <w:t xml:space="preserve"> </w:t>
      </w:r>
      <w:r>
        <w:t xml:space="preserve">Jeremy Howard</w:t>
      </w:r>
      <w:r>
        <w:t xml:space="preserve"> </w:t>
      </w:r>
      <w:r>
        <w:rPr>
          <w:rStyle w:val="FootnoteReference"/>
        </w:rPr>
        <w:footnoteReference w:id="22"/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Key takeaway (as shared):</w:t>
      </w:r>
      <w:r>
        <w:t xml:space="preserve"> </w:t>
      </w:r>
      <w:r>
        <w:t xml:space="preserve">Howard points to Brooks’</w:t>
      </w:r>
      <w:r>
        <w:t xml:space="preserve"> </w:t>
      </w:r>
      <w:r>
        <w:t xml:space="preserve">“</w:t>
      </w:r>
      <w:r>
        <w:t xml:space="preserve">No Silver Bullet</w:t>
      </w:r>
      <w:r>
        <w:t xml:space="preserve">”</w:t>
      </w:r>
      <w:r>
        <w:t xml:space="preserve"> </w:t>
      </w:r>
      <w:r>
        <w:t xml:space="preserve">as sounding like it was written for today—responding to claims that new tools would mean we</w:t>
      </w:r>
      <w:r>
        <w:t xml:space="preserve"> </w:t>
      </w:r>
      <w:r>
        <w:t xml:space="preserve">“</w:t>
      </w:r>
      <w:r>
        <w:t xml:space="preserve">won’t need any coders anymore.</w:t>
      </w:r>
      <w:r>
        <w:t xml:space="preserve">”</w:t>
      </w:r>
      <w:r>
        <w:t xml:space="preserve"> </w:t>
      </w:r>
      <w:r>
        <w:t xml:space="preserve">Brooks argued productivity gains would be limited (Howard cites Brooks’</w:t>
      </w:r>
      <w:r>
        <w:t xml:space="preserve"> </w:t>
      </w:r>
      <w:r>
        <w:t xml:space="preserve">“</w:t>
      </w:r>
      <w:r>
        <w:t xml:space="preserve">30% improvement</w:t>
      </w:r>
      <w:r>
        <w:t xml:space="preserve">”</w:t>
      </w:r>
      <w:r>
        <w:t xml:space="preserve"> </w:t>
      </w:r>
      <w:r>
        <w:t xml:space="preserve">framing) and that most software engineering work isn’t typing code.</w:t>
      </w:r>
      <w:r>
        <w:t xml:space="preserve"> </w:t>
      </w:r>
      <w:r>
        <w:rPr>
          <w:rStyle w:val="FootnoteReference"/>
        </w:rPr>
        <w:footnoteReference w:id="23"/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It directly addresses the same premise driving current AI coding hype, and frames where the real bottlenecks may lie (beyond code entry).</w:t>
      </w:r>
      <w:r>
        <w:t xml:space="preserve"> </w:t>
      </w:r>
      <w:r>
        <w:rPr>
          <w:rStyle w:val="FootnoteReference"/>
        </w:rPr>
        <w:footnoteReference w:id="24"/>
      </w:r>
    </w:p>
    <w:p>
      <w:pPr>
        <w:pStyle w:val="FirstParagraph"/>
      </w:pPr>
      <w:hyperlink r:id="rId28">
        <w:r>
          <w:drawing>
            <wp:inline>
              <wp:extent cx="5334000" cy="4000500"/>
              <wp:effectExtent b="0" l="0" r="0" t="0"/>
              <wp:docPr descr="“Vibe Coding is a Slot Machine” - Jeremy Howard" title="" id="26" name="Picture"/>
              <a:graphic>
                <a:graphicData uri="http://schemas.openxmlformats.org/drawingml/2006/picture">
                  <pic:pic>
                    <pic:nvPicPr>
                      <pic:cNvPr descr="https://img.youtube.com/vi/dHBEQ-Ryo24/hqdefault.jpg" id="27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5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“</w:t>
      </w:r>
      <w:r>
        <w:rPr>
          <w:iCs/>
          <w:i/>
        </w:rPr>
        <w:t xml:space="preserve">Vibe Coding is a Slot Machine</w:t>
      </w:r>
      <w:r>
        <w:rPr>
          <w:iCs/>
          <w:i/>
        </w:rPr>
        <w:t xml:space="preserve">”</w:t>
      </w:r>
      <w:r>
        <w:rPr>
          <w:iCs/>
          <w:i/>
        </w:rPr>
        <w:t xml:space="preserve"> </w:t>
      </w:r>
      <w:r>
        <w:rPr>
          <w:iCs/>
          <w:i/>
        </w:rPr>
        <w:t xml:space="preserve">- Jeremy Howard (28:23)</w:t>
      </w:r>
    </w:p>
    <w:p>
      <w:r>
        <w:pict>
          <v:rect style="width:0;height:1.5pt" o:hralign="center" o:hrstd="t" o:hr="t"/>
        </w:pict>
      </w:r>
    </w:p>
    <w:bookmarkEnd w:id="29"/>
    <w:bookmarkEnd w:id="30"/>
    <w:bookmarkStart w:id="43" w:name="ai-product-strategy-moats-and-psychology"/>
    <w:p>
      <w:pPr>
        <w:pStyle w:val="Heading2"/>
      </w:pPr>
      <w:r>
        <w:t xml:space="preserve">AI + product strategy: moats and psychology</w:t>
      </w:r>
    </w:p>
    <w:bookmarkStart w:id="36" w:name="ai-and-startup-moats-essay-agam"/>
    <w:p>
      <w:pPr>
        <w:pStyle w:val="Heading3"/>
      </w:pPr>
      <w:r>
        <w:t xml:space="preserve">“</w:t>
      </w:r>
      <w:r>
        <w:t xml:space="preserve">AI and Startup Moats</w:t>
      </w:r>
      <w:r>
        <w:t xml:space="preserve">”</w:t>
      </w:r>
      <w:r>
        <w:t xml:space="preserve"> </w:t>
      </w:r>
      <w:r>
        <w:t xml:space="preserve">(essay) —</w:t>
      </w:r>
      <w:r>
        <w:t xml:space="preserve"> </w:t>
      </w:r>
      <w:r>
        <w:rPr>
          <w:bCs/>
          <w:b/>
        </w:rPr>
        <w:t xml:space="preserve">Agam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https://unzip.dev/0x01f-ai-and-startup-moats/</w:t>
      </w:r>
      <w:r>
        <w:t xml:space="preserve"> </w:t>
      </w:r>
      <w:r>
        <w:rPr>
          <w:rStyle w:val="FootnoteReference"/>
        </w:rPr>
        <w:footnoteReference w:id="31"/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Recommended by:</w:t>
      </w:r>
      <w:r>
        <w:t xml:space="preserve"> </w:t>
      </w:r>
      <w:r>
        <w:t xml:space="preserve">Ryan Hoover (Product Hunt)</w:t>
      </w:r>
      <w:r>
        <w:t xml:space="preserve"> </w:t>
      </w:r>
      <w:r>
        <w:rPr>
          <w:rStyle w:val="FootnoteReference"/>
        </w:rPr>
        <w:footnoteReference w:id="33"/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Key takeaway (as shared):</w:t>
      </w:r>
      <w:r>
        <w:t xml:space="preserve"> </w:t>
      </w:r>
      <w:r>
        <w:t xml:space="preserve">Hoover calls it a</w:t>
      </w:r>
      <w:r>
        <w:t xml:space="preserve"> </w:t>
      </w:r>
      <w:r>
        <w:t xml:space="preserve">“</w:t>
      </w:r>
      <w:r>
        <w:t xml:space="preserve">thoughtful essay</w:t>
      </w:r>
      <w:r>
        <w:t xml:space="preserve">”</w:t>
      </w:r>
      <w:r>
        <w:t xml:space="preserve"> </w:t>
      </w:r>
      <w:r>
        <w:t xml:space="preserve">on how moats are changing.</w:t>
      </w:r>
      <w:r>
        <w:t xml:space="preserve"> </w:t>
      </w:r>
      <w:r>
        <w:rPr>
          <w:rStyle w:val="FootnoteReference"/>
        </w:rPr>
        <w:footnoteReference w:id="34"/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A direct pointer to a single, focused argument about defensibility in an AI-shifting landscape (without being framed as promotion).</w:t>
      </w:r>
      <w:r>
        <w:t xml:space="preserve"> </w:t>
      </w:r>
      <w:r>
        <w:rPr>
          <w:rStyle w:val="FootnoteReference"/>
        </w:rPr>
        <w:footnoteReference w:id="35"/>
      </w:r>
    </w:p>
    <w:bookmarkEnd w:id="36"/>
    <w:bookmarkStart w:id="42" w:name="Xf1540f5d07919d9ebef58f9a507eaa0cfd8339b"/>
    <w:p>
      <w:pPr>
        <w:pStyle w:val="Heading3"/>
      </w:pPr>
      <w:r>
        <w:rPr>
          <w:iCs/>
          <w:i/>
        </w:rPr>
        <w:t xml:space="preserve">Hooked: How to Build Habit-Forming Products</w:t>
      </w:r>
      <w:r>
        <w:t xml:space="preserve"> </w:t>
      </w:r>
      <w:r>
        <w:t xml:space="preserve">(book) —</w:t>
      </w:r>
      <w:r>
        <w:t xml:space="preserve"> </w:t>
      </w:r>
      <w:r>
        <w:rPr>
          <w:bCs/>
          <w:b/>
        </w:rPr>
        <w:t xml:space="preserve">Nir Eyal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Not provided</w:t>
      </w:r>
      <w:r>
        <w:t xml:space="preserve"> </w:t>
      </w:r>
      <w:r>
        <w:rPr>
          <w:rStyle w:val="FootnoteReference"/>
        </w:rPr>
        <w:footnoteReference w:id="37"/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Recommended by:</w:t>
      </w:r>
      <w:r>
        <w:t xml:space="preserve"> </w:t>
      </w:r>
      <w:r>
        <w:t xml:space="preserve">Ryan Hoover</w:t>
      </w:r>
      <w:r>
        <w:t xml:space="preserve"> </w:t>
      </w:r>
      <w:r>
        <w:rPr>
          <w:rStyle w:val="FootnoteReference"/>
        </w:rPr>
        <w:footnoteReference w:id="39"/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Key takeaway (as shared):</w:t>
      </w:r>
      <w:r>
        <w:t xml:space="preserve"> </w:t>
      </w:r>
      <w:r>
        <w:t xml:space="preserve">Hoover argues that</w:t>
      </w:r>
      <w:r>
        <w:t xml:space="preserve"> </w:t>
      </w:r>
      <w:r>
        <w:t xml:space="preserve">“</w:t>
      </w:r>
      <w:r>
        <w:t xml:space="preserve">what won’t change</w:t>
      </w:r>
      <w:r>
        <w:t xml:space="preserve">”</w:t>
      </w:r>
      <w:r>
        <w:t xml:space="preserve"> </w:t>
      </w:r>
      <w:r>
        <w:t xml:space="preserve">is human nature, and that a deep understanding of psychology is</w:t>
      </w:r>
      <w:r>
        <w:t xml:space="preserve"> </w:t>
      </w:r>
      <w:r>
        <w:t xml:space="preserve">“</w:t>
      </w:r>
      <w:r>
        <w:t xml:space="preserve">evergreen</w:t>
      </w:r>
      <w:r>
        <w:t xml:space="preserve">”</w:t>
      </w:r>
      <w:r>
        <w:t xml:space="preserve"> </w:t>
      </w:r>
      <w:r>
        <w:t xml:space="preserve">across roles—even as technology changes.</w:t>
      </w:r>
      <w:r>
        <w:t xml:space="preserve"> </w:t>
      </w:r>
      <w:r>
        <w:rPr>
          <w:rStyle w:val="FootnoteReference"/>
        </w:rPr>
        <w:footnoteReference w:id="40"/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It’s recommended as durable foundational knowledge (human behavior) rather than a tool-specific tactic.</w:t>
      </w:r>
      <w:r>
        <w:t xml:space="preserve"> </w:t>
      </w:r>
      <w:r>
        <w:rPr>
          <w:rStyle w:val="FootnoteReference"/>
        </w:rPr>
        <w:footnoteReference w:id="41"/>
      </w:r>
    </w:p>
    <w:p>
      <w:r>
        <w:pict>
          <v:rect style="width:0;height:1.5pt" o:hralign="center" o:hrstd="t" o:hr="t"/>
        </w:pict>
      </w:r>
    </w:p>
    <w:bookmarkEnd w:id="42"/>
    <w:bookmarkEnd w:id="43"/>
    <w:bookmarkStart w:id="54" w:name="Xaf528e16c713ff3d4310c3f8bbd01578c62a11f"/>
    <w:p>
      <w:pPr>
        <w:pStyle w:val="Heading2"/>
      </w:pPr>
      <w:r>
        <w:t xml:space="preserve">Building teams that compound:</w:t>
      </w:r>
      <w:r>
        <w:t xml:space="preserve"> </w:t>
      </w:r>
      <w:r>
        <w:t xml:space="preserve">“</w:t>
      </w:r>
      <w:r>
        <w:t xml:space="preserve">slope</w:t>
      </w:r>
      <w:r>
        <w:t xml:space="preserve">”</w:t>
      </w:r>
      <w:r>
        <w:t xml:space="preserve"> </w:t>
      </w:r>
      <w:r>
        <w:t xml:space="preserve">and hands-on intuition</w:t>
      </w:r>
    </w:p>
    <w:bookmarkStart w:id="48" w:name="Xa22f5dbd42e9fdca223f9b5c4e4fcc20c3b2589"/>
    <w:p>
      <w:pPr>
        <w:pStyle w:val="Heading3"/>
      </w:pPr>
      <w:r>
        <w:t xml:space="preserve">“</w:t>
      </w:r>
      <w:r>
        <w:t xml:space="preserve">A Little Bit of Slope Makes up for a lot of Intercept</w:t>
      </w:r>
      <w:r>
        <w:t xml:space="preserve">”</w:t>
      </w:r>
      <w:r>
        <w:t xml:space="preserve"> </w:t>
      </w:r>
      <w:r>
        <w:t xml:space="preserve">(lecture) —</w:t>
      </w:r>
      <w:r>
        <w:t xml:space="preserve"> </w:t>
      </w:r>
      <w:r>
        <w:rPr>
          <w:bCs/>
          <w:b/>
        </w:rPr>
        <w:t xml:space="preserve">John Osterhout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Not provided (recommended in this video): https://www.youtube.com/watch?v=dHBEQ-Ryo24</w:t>
      </w:r>
      <w:r>
        <w:t xml:space="preserve"> </w:t>
      </w:r>
      <w:r>
        <w:rPr>
          <w:rStyle w:val="FootnoteReference"/>
        </w:rPr>
        <w:footnoteReference w:id="44"/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Recommended by:</w:t>
      </w:r>
      <w:r>
        <w:t xml:space="preserve"> </w:t>
      </w:r>
      <w:r>
        <w:t xml:space="preserve">Jeremy Howard</w:t>
      </w:r>
      <w:r>
        <w:t xml:space="preserve"> </w:t>
      </w:r>
      <w:r>
        <w:rPr>
          <w:rStyle w:val="FootnoteReference"/>
        </w:rPr>
        <w:footnoteReference w:id="45"/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Key takeaway (as shared):</w:t>
      </w:r>
      <w:r>
        <w:t xml:space="preserve"> </w:t>
      </w:r>
      <w:r>
        <w:t xml:space="preserve">Howard summarizes Osterhout’s idea: prioritize activities that increase your growth rate (</w:t>
      </w:r>
      <w:r>
        <w:t xml:space="preserve">“</w:t>
      </w:r>
      <w:r>
        <w:t xml:space="preserve">slope</w:t>
      </w:r>
      <w:r>
        <w:t xml:space="preserve">”</w:t>
      </w:r>
      <w:r>
        <w:t xml:space="preserve">) over things you’re already good at (</w:t>
      </w:r>
      <w:r>
        <w:t xml:space="preserve">“</w:t>
      </w:r>
      <w:r>
        <w:t xml:space="preserve">high intercept</w:t>
      </w:r>
      <w:r>
        <w:t xml:space="preserve">”</w:t>
      </w:r>
      <w:r>
        <w:t xml:space="preserve">). He adds that for his company, he focuses on his team’s</w:t>
      </w:r>
      <w:r>
        <w:t xml:space="preserve"> </w:t>
      </w:r>
      <w:r>
        <w:t xml:space="preserve">“</w:t>
      </w:r>
      <w:r>
        <w:t xml:space="preserve">slope.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46"/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It’s a crisp framework for evaluating work and development: optimize for compounding capability, not just near-term output.</w:t>
      </w:r>
      <w:r>
        <w:t xml:space="preserve"> </w:t>
      </w:r>
      <w:r>
        <w:rPr>
          <w:rStyle w:val="FootnoteReference"/>
        </w:rPr>
        <w:footnoteReference w:id="47"/>
      </w:r>
    </w:p>
    <w:bookmarkEnd w:id="48"/>
    <w:bookmarkStart w:id="53" w:name="X4f1612140d6b4d672be3bcf46a2555433c1a843"/>
    <w:p>
      <w:pPr>
        <w:pStyle w:val="Heading3"/>
      </w:pPr>
      <w:r>
        <w:t xml:space="preserve">Brett Victor’s work (talks/demos) —</w:t>
      </w:r>
      <w:r>
        <w:t xml:space="preserve"> </w:t>
      </w:r>
      <w:r>
        <w:rPr>
          <w:bCs/>
          <w:b/>
        </w:rPr>
        <w:t xml:space="preserve">Brett Victor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Not provided</w:t>
      </w:r>
      <w:r>
        <w:t xml:space="preserve"> </w:t>
      </w:r>
      <w:r>
        <w:rPr>
          <w:rStyle w:val="FootnoteReference"/>
        </w:rPr>
        <w:footnoteReference w:id="49"/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Recommended by:</w:t>
      </w:r>
      <w:r>
        <w:t xml:space="preserve"> </w:t>
      </w:r>
      <w:r>
        <w:t xml:space="preserve">Jeremy Howard</w:t>
      </w:r>
      <w:r>
        <w:t xml:space="preserve"> </w:t>
      </w:r>
      <w:r>
        <w:rPr>
          <w:rStyle w:val="FootnoteReference"/>
        </w:rPr>
        <w:footnoteReference w:id="50"/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Key takeaway (as shared):</w:t>
      </w:r>
      <w:r>
        <w:t xml:space="preserve"> </w:t>
      </w:r>
      <w:r>
        <w:t xml:space="preserve">Howard says Victor best expresses the importance of a</w:t>
      </w:r>
      <w:r>
        <w:t xml:space="preserve"> </w:t>
      </w:r>
      <w:r>
        <w:t xml:space="preserve">“</w:t>
      </w:r>
      <w:r>
        <w:t xml:space="preserve">direct, visceral connection</w:t>
      </w:r>
      <w:r>
        <w:t xml:space="preserve">”</w:t>
      </w:r>
      <w:r>
        <w:t xml:space="preserve"> </w:t>
      </w:r>
      <w:r>
        <w:t xml:space="preserve">with the thing you’re working on, and encourages people who haven’t watched Victor to do so.</w:t>
      </w:r>
      <w:r>
        <w:t xml:space="preserve"> </w:t>
      </w:r>
      <w:r>
        <w:rPr>
          <w:rStyle w:val="FootnoteReference"/>
        </w:rPr>
        <w:footnoteReference w:id="51"/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It highlights a learning principle that’s easy to lose in modern tooling: staying close to the system you’re building to develop intuition.</w:t>
      </w:r>
      <w:r>
        <w:t xml:space="preserve"> </w:t>
      </w:r>
      <w:r>
        <w:rPr>
          <w:rStyle w:val="FootnoteReference"/>
        </w:rPr>
        <w:footnoteReference w:id="52"/>
      </w:r>
    </w:p>
    <w:p>
      <w:r>
        <w:pict>
          <v:rect style="width:0;height:1.5pt" o:hralign="center" o:hrstd="t" o:hr="t"/>
        </w:pict>
      </w:r>
    </w:p>
    <w:bookmarkEnd w:id="53"/>
    <w:bookmarkEnd w:id="54"/>
    <w:bookmarkStart w:id="63" w:name="Xb31e31fcfe883188ddfe156277428926b298810"/>
    <w:p>
      <w:pPr>
        <w:pStyle w:val="Heading2"/>
      </w:pPr>
      <w:r>
        <w:t xml:space="preserve">Investing: why</w:t>
      </w:r>
      <w:r>
        <w:t xml:space="preserve"> </w:t>
      </w:r>
      <w:r>
        <w:t xml:space="preserve">“</w:t>
      </w:r>
      <w:r>
        <w:t xml:space="preserve">process</w:t>
      </w:r>
      <w:r>
        <w:t xml:space="preserve">”</w:t>
      </w:r>
      <w:r>
        <w:t xml:space="preserve"> </w:t>
      </w:r>
      <w:r>
        <w:t xml:space="preserve">isn’t the whole story</w:t>
      </w:r>
    </w:p>
    <w:bookmarkStart w:id="62" w:name="X6f8196c36294908897db7205e0bdb4d383de696"/>
    <w:p>
      <w:pPr>
        <w:pStyle w:val="Heading3"/>
      </w:pPr>
      <w:r>
        <w:rPr>
          <w:iCs/>
          <w:i/>
        </w:rPr>
        <w:t xml:space="preserve">Capital Allocators</w:t>
      </w:r>
      <w:r>
        <w:t xml:space="preserve"> </w:t>
      </w:r>
      <w:r>
        <w:t xml:space="preserve">episode featuring</w:t>
      </w:r>
      <w:r>
        <w:t xml:space="preserve"> </w:t>
      </w:r>
      <w:r>
        <w:rPr>
          <w:bCs/>
          <w:b/>
        </w:rPr>
        <w:t xml:space="preserve">Gavin Baker</w:t>
      </w:r>
      <w:r>
        <w:t xml:space="preserve"> </w:t>
      </w:r>
      <w:r>
        <w:t xml:space="preserve">(podcast episode)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https://podcasts.apple.com/us/podcast/capital-allocators-inside-the-institutional/id1223764016?i=1000752436222</w:t>
      </w:r>
      <w:r>
        <w:t xml:space="preserve"> </w:t>
      </w:r>
      <w:r>
        <w:rPr>
          <w:rStyle w:val="FootnoteReference"/>
        </w:rPr>
        <w:footnoteReference w:id="55"/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Recommended by:</w:t>
      </w:r>
      <w:r>
        <w:t xml:space="preserve"> </w:t>
      </w:r>
      <w:r>
        <w:t xml:space="preserve">Ian Cassel (shared), endorsed by Keith Rabois (</w:t>
      </w:r>
      <w:r>
        <w:t xml:space="preserve">“</w:t>
      </w:r>
      <w:r>
        <w:t xml:space="preserve">This.</w:t>
      </w:r>
      <w:r>
        <w:t xml:space="preserve">”</w:t>
      </w:r>
      <w:r>
        <w:t xml:space="preserve">)</w:t>
      </w:r>
      <w:r>
        <w:t xml:space="preserve"> </w:t>
      </w:r>
      <w:r>
        <w:rPr>
          <w:rStyle w:val="FootnoteReference"/>
        </w:rPr>
        <w:footnoteReference w:id="57"/>
      </w:r>
      <w:r>
        <w:rPr>
          <w:rStyle w:val="FootnoteReference"/>
        </w:rPr>
        <w:footnoteReference w:id="58"/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Key takeaway (as shared):</w:t>
      </w:r>
      <w:r>
        <w:t xml:space="preserve"> </w:t>
      </w:r>
      <w:r>
        <w:t xml:space="preserve">The post argues that while a repeatable process matters, any repeatable edge that produces significant alpha gets</w:t>
      </w:r>
      <w:r>
        <w:t xml:space="preserve"> </w:t>
      </w:r>
      <w:r>
        <w:t xml:space="preserve">“</w:t>
      </w:r>
      <w:r>
        <w:t xml:space="preserve">quickly arbed away.</w:t>
      </w:r>
      <w:r>
        <w:t xml:space="preserve">”</w:t>
      </w:r>
      <w:r>
        <w:t xml:space="preserve"> </w:t>
      </w:r>
      <w:r>
        <w:t xml:space="preserve">It suggests repeatable outperformance often comes from a small number of key people (estimated</w:t>
      </w:r>
      <w:r>
        <w:t xml:space="preserve"> </w:t>
      </w:r>
      <w:r>
        <w:t xml:space="preserve">“</w:t>
      </w:r>
      <w:r>
        <w:t xml:space="preserve">2–10</w:t>
      </w:r>
      <w:r>
        <w:t xml:space="preserve">”</w:t>
      </w:r>
      <w:r>
        <w:t xml:space="preserve">)—illustrated via a Michael Jordan / Bulls analogy.</w:t>
      </w:r>
      <w:r>
        <w:t xml:space="preserve"> </w:t>
      </w:r>
      <w:r>
        <w:rPr>
          <w:rStyle w:val="FootnoteReference"/>
        </w:rPr>
        <w:footnoteReference w:id="60"/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It’s a concrete lens for evaluating investment organizations (and teams) beyond process narratives: who are the few individuals that actually drive outcomes?</w:t>
      </w:r>
      <w:r>
        <w:t xml:space="preserve"> </w:t>
      </w:r>
      <w:r>
        <w:rPr>
          <w:rStyle w:val="FootnoteReference"/>
        </w:rPr>
        <w:footnoteReference w:id="61"/>
      </w:r>
    </w:p>
    <w:p>
      <w:r>
        <w:pict>
          <v:rect style="width:0;height:1.5pt" o:hralign="center" o:hrstd="t" o:hr="t"/>
        </w:pict>
      </w:r>
    </w:p>
    <w:bookmarkEnd w:id="62"/>
    <w:bookmarkEnd w:id="63"/>
    <w:bookmarkStart w:id="71" w:name="geopolitics-and-competition"/>
    <w:p>
      <w:pPr>
        <w:pStyle w:val="Heading2"/>
      </w:pPr>
      <w:r>
        <w:t xml:space="preserve">Geopolitics and competition</w:t>
      </w:r>
    </w:p>
    <w:bookmarkStart w:id="70" w:name="breakneck-book-dan-wynn"/>
    <w:p>
      <w:pPr>
        <w:pStyle w:val="Heading3"/>
      </w:pPr>
      <w:r>
        <w:rPr>
          <w:iCs/>
          <w:i/>
        </w:rPr>
        <w:t xml:space="preserve">Breakneck</w:t>
      </w:r>
      <w:r>
        <w:t xml:space="preserve"> </w:t>
      </w:r>
      <w:r>
        <w:t xml:space="preserve">(book) —</w:t>
      </w:r>
      <w:r>
        <w:t xml:space="preserve"> </w:t>
      </w:r>
      <w:r>
        <w:rPr>
          <w:bCs/>
          <w:b/>
        </w:rPr>
        <w:t xml:space="preserve">Dan Wynn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Not provided (recommended in this episode): https://www.youtube.com/watch?v=s830OB11pqw</w:t>
      </w:r>
      <w:r>
        <w:t xml:space="preserve"> </w:t>
      </w:r>
      <w:r>
        <w:rPr>
          <w:rStyle w:val="FootnoteReference"/>
        </w:rPr>
        <w:footnoteReference w:id="64"/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Recommended by:</w:t>
      </w:r>
      <w:r>
        <w:t xml:space="preserve"> </w:t>
      </w:r>
      <w:r>
        <w:t xml:space="preserve">Garry Tan (Y Combinator)</w:t>
      </w:r>
      <w:r>
        <w:t xml:space="preserve"> </w:t>
      </w:r>
      <w:r>
        <w:rPr>
          <w:rStyle w:val="FootnoteReference"/>
        </w:rPr>
        <w:footnoteReference w:id="66"/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Key takeaway (as shared):</w:t>
      </w:r>
      <w:r>
        <w:t xml:space="preserve"> </w:t>
      </w:r>
      <w:r>
        <w:t xml:space="preserve">Tan recommends</w:t>
      </w:r>
      <w:r>
        <w:t xml:space="preserve"> </w:t>
      </w:r>
      <w:r>
        <w:rPr>
          <w:iCs/>
          <w:i/>
        </w:rPr>
        <w:t xml:space="preserve">Breakneck</w:t>
      </w:r>
      <w:r>
        <w:t xml:space="preserve"> </w:t>
      </w:r>
      <w:r>
        <w:t xml:space="preserve">as a book about China vs. the US, calling it</w:t>
      </w:r>
      <w:r>
        <w:t xml:space="preserve"> </w:t>
      </w:r>
      <w:r>
        <w:t xml:space="preserve">“</w:t>
      </w:r>
      <w:r>
        <w:t xml:space="preserve">incredible,</w:t>
      </w:r>
      <w:r>
        <w:t xml:space="preserve">”</w:t>
      </w:r>
      <w:r>
        <w:t xml:space="preserve"> </w:t>
      </w:r>
      <w:r>
        <w:t xml:space="preserve">with another participant adding:</w:t>
      </w:r>
      <w:r>
        <w:t xml:space="preserve"> </w:t>
      </w:r>
      <w:r>
        <w:t xml:space="preserve">“</w:t>
      </w:r>
      <w:r>
        <w:t xml:space="preserve">It’s really good.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67"/>
      </w:r>
      <w:r>
        <w:rPr>
          <w:rStyle w:val="FootnoteReference"/>
        </w:rPr>
        <w:footnoteReference w:id="68"/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A clear signal that this is a high-quality read (per Tan) for thinking about US–China dynamics in a period where many founders/investors are reassessing national competitiveness.</w:t>
      </w:r>
      <w:r>
        <w:t xml:space="preserve"> </w:t>
      </w:r>
      <w:r>
        <w:rPr>
          <w:rStyle w:val="FootnoteReference"/>
        </w:rPr>
        <w:footnoteReference w:id="69"/>
      </w:r>
    </w:p>
    <w:p>
      <w:r>
        <w:pict>
          <v:rect style="width:0;height:1.5pt" o:hralign="center" o:hrstd="t" o:hr="t"/>
        </w:pict>
      </w:r>
    </w:p>
    <w:bookmarkEnd w:id="70"/>
    <w:bookmarkEnd w:id="71"/>
    <w:bookmarkStart w:id="82" w:name="leadership-under-pressure"/>
    <w:p>
      <w:pPr>
        <w:pStyle w:val="Heading2"/>
      </w:pPr>
      <w:r>
        <w:t xml:space="preserve">Leadership under pressure</w:t>
      </w:r>
    </w:p>
    <w:bookmarkStart w:id="80" w:name="Xb6d9439d0466a328193078dbe57076bf22403bf"/>
    <w:p>
      <w:pPr>
        <w:pStyle w:val="Heading3"/>
      </w:pPr>
      <w:r>
        <w:t xml:space="preserve">Lee Kuan Yew speech on handling a strike (speech/video)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Not provided (recommendation shared here): https://x.com/davidsenra/status/2028952451584561387</w:t>
      </w:r>
      <w:r>
        <w:t xml:space="preserve"> </w:t>
      </w:r>
      <w:r>
        <w:rPr>
          <w:rStyle w:val="FootnoteReference"/>
        </w:rPr>
        <w:footnoteReference w:id="72"/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Recommended by:</w:t>
      </w:r>
      <w:r>
        <w:t xml:space="preserve"> </w:t>
      </w:r>
      <w:r>
        <w:t xml:space="preserve">Brian Armstrong (Coinbase)</w:t>
      </w:r>
      <w:r>
        <w:t xml:space="preserve"> </w:t>
      </w:r>
      <w:r>
        <w:rPr>
          <w:rStyle w:val="FootnoteReference"/>
        </w:rPr>
        <w:footnoteReference w:id="74"/>
      </w:r>
      <w:r>
        <w:rPr>
          <w:rStyle w:val="FootnoteReference"/>
        </w:rPr>
        <w:footnoteReference w:id="75"/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Key takeaway (as shared):</w:t>
      </w:r>
      <w:r>
        <w:t xml:space="preserve"> </w:t>
      </w:r>
      <w:r>
        <w:t xml:space="preserve">Armstrong describes a Lee Kuan Yew speech as</w:t>
      </w:r>
      <w:r>
        <w:t xml:space="preserve"> </w:t>
      </w:r>
      <w:r>
        <w:t xml:space="preserve">“</w:t>
      </w:r>
      <w:r>
        <w:t xml:space="preserve">great,</w:t>
      </w:r>
      <w:r>
        <w:t xml:space="preserve">”</w:t>
      </w:r>
      <w:r>
        <w:t xml:space="preserve"> </w:t>
      </w:r>
      <w:r>
        <w:t xml:space="preserve">and highlights the stance of being willing to</w:t>
      </w:r>
      <w:r>
        <w:t xml:space="preserve"> </w:t>
      </w:r>
      <w:r>
        <w:t xml:space="preserve">“</w:t>
      </w:r>
      <w:r>
        <w:t xml:space="preserve">rebuild it all from scratch</w:t>
      </w:r>
      <w:r>
        <w:t xml:space="preserve">”</w:t>
      </w:r>
      <w:r>
        <w:t xml:space="preserve"> </w:t>
      </w:r>
      <w:r>
        <w:t xml:space="preserve">rather than</w:t>
      </w:r>
      <w:r>
        <w:t xml:space="preserve"> </w:t>
      </w:r>
      <w:r>
        <w:t xml:space="preserve">“</w:t>
      </w:r>
      <w:r>
        <w:t xml:space="preserve">allow you to bring this country down.</w:t>
      </w:r>
      <w:r>
        <w:t xml:space="preserve">”</w:t>
      </w:r>
      <w:r>
        <w:t xml:space="preserve"> </w:t>
      </w:r>
      <w:r>
        <w:t xml:space="preserve">He says it’s</w:t>
      </w:r>
      <w:r>
        <w:t xml:space="preserve"> </w:t>
      </w:r>
      <w:r>
        <w:t xml:space="preserve">“</w:t>
      </w:r>
      <w:r>
        <w:t xml:space="preserve">very inspiring</w:t>
      </w:r>
      <w:r>
        <w:t xml:space="preserve">”</w:t>
      </w:r>
      <w:r>
        <w:t xml:space="preserve"> </w:t>
      </w:r>
      <w:r>
        <w:t xml:space="preserve">and something he feels he needs to do as a leader.</w:t>
      </w:r>
      <w:r>
        <w:t xml:space="preserve"> </w:t>
      </w:r>
      <w:r>
        <w:rPr>
          <w:rStyle w:val="FootnoteReference"/>
        </w:rPr>
        <w:footnoteReference w:id="76"/>
      </w:r>
      <w:r>
        <w:rPr>
          <w:rStyle w:val="FootnoteReference"/>
        </w:rPr>
        <w:footnoteReference w:id="77"/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A rare example of a founder pointing to a specific leadership moment as a personal benchmark for decisiveness and resolve.</w:t>
      </w:r>
      <w:r>
        <w:t xml:space="preserve"> </w:t>
      </w:r>
      <w:r>
        <w:rPr>
          <w:rStyle w:val="FootnoteReference"/>
        </w:rPr>
        <w:footnoteReference w:id="78"/>
      </w:r>
    </w:p>
    <w:p>
      <w:pPr>
        <w:pStyle w:val="BlockText"/>
      </w:pPr>
      <w:r>
        <w:t xml:space="preserve">“</w:t>
      </w:r>
      <w:r>
        <w:t xml:space="preserve">I sat across the table from them and said get back to work. I will not allow you to bring this country down. And if you don’t do it, I’m prepared to rebuild it all from scratch again.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79"/>
      </w:r>
    </w:p>
    <w:p>
      <w:r>
        <w:pict>
          <v:rect style="width:0;height:1.5pt" o:hralign="center" o:hrstd="t" o:hr="t"/>
        </w:pict>
      </w:r>
    </w:p>
    <w:bookmarkEnd w:id="80"/>
    <w:bookmarkStart w:id="81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9"/>
        </w:numPr>
        <w:pStyle w:val="Compact"/>
      </w:pPr>
      <w:hyperlink r:id="rId21">
        <w:r>
          <w:rPr>
            <w:rStyle w:val="Hyperlink"/>
          </w:rPr>
          <w:t xml:space="preserve">“</w:t>
        </w:r>
        <w:r>
          <w:rPr>
            <w:rStyle w:val="Hyperlink"/>
          </w:rPr>
          <w:t xml:space="preserve">Vibe Coding is a Slot Machine</w:t>
        </w:r>
        <w:r>
          <w:rPr>
            <w:rStyle w:val="Hyperlink"/>
          </w:rPr>
          <w:t xml:space="preserve">”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- Jeremy Howard</w:t>
        </w:r>
      </w:hyperlink>
    </w:p>
    <w:p>
      <w:pPr>
        <w:numPr>
          <w:ilvl w:val="0"/>
          <w:numId w:val="1009"/>
        </w:numPr>
        <w:pStyle w:val="Compact"/>
      </w:pPr>
      <w:hyperlink r:id="rId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@rrhoover</w:t>
        </w:r>
      </w:hyperlink>
    </w:p>
    <w:p>
      <w:pPr>
        <w:numPr>
          <w:ilvl w:val="0"/>
          <w:numId w:val="1009"/>
        </w:numPr>
        <w:pStyle w:val="Compact"/>
      </w:pP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@rrhoover</w:t>
        </w:r>
      </w:hyperlink>
    </w:p>
    <w:p>
      <w:pPr>
        <w:numPr>
          <w:ilvl w:val="0"/>
          <w:numId w:val="1009"/>
        </w:numPr>
        <w:pStyle w:val="Compact"/>
      </w:pPr>
      <w:hyperlink r:id="rId5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@iancassel</w:t>
        </w:r>
      </w:hyperlink>
    </w:p>
    <w:p>
      <w:pPr>
        <w:numPr>
          <w:ilvl w:val="0"/>
          <w:numId w:val="1009"/>
        </w:numPr>
        <w:pStyle w:val="Compact"/>
      </w:pPr>
      <w:hyperlink r:id="rId5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@rabois</w:t>
        </w:r>
      </w:hyperlink>
    </w:p>
    <w:p>
      <w:pPr>
        <w:numPr>
          <w:ilvl w:val="0"/>
          <w:numId w:val="1009"/>
        </w:numPr>
        <w:pStyle w:val="Compact"/>
      </w:pPr>
      <w:hyperlink r:id="rId65">
        <w:r>
          <w:rPr>
            <w:rStyle w:val="Hyperlink"/>
          </w:rPr>
          <w:t xml:space="preserve">Y Combinator in the Age of AI | Ep. 43</w:t>
        </w:r>
      </w:hyperlink>
    </w:p>
    <w:p>
      <w:pPr>
        <w:numPr>
          <w:ilvl w:val="0"/>
          <w:numId w:val="1009"/>
        </w:numPr>
        <w:pStyle w:val="Compact"/>
      </w:pPr>
      <w:hyperlink r:id="rId7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@davidsenra</w:t>
        </w:r>
      </w:hyperlink>
    </w:p>
    <w:bookmarkEnd w:id="81"/>
    <w:bookmarkEnd w:id="82"/>
    <w:bookmarkEnd w:id="8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2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“</w:t>
        </w:r>
        <w:r>
          <w:rPr>
            <w:rStyle w:val="Hyperlink"/>
          </w:rPr>
          <w:t xml:space="preserve">Vibe Coding is a Slot Machine</w:t>
        </w:r>
        <w:r>
          <w:rPr>
            <w:rStyle w:val="Hyperlink"/>
          </w:rPr>
          <w:t xml:space="preserve">”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- Jeremy Howard</w:t>
        </w:r>
      </w:hyperlink>
    </w:p>
  </w:footnote>
  <w:footnote w:id="2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“</w:t>
        </w:r>
        <w:r>
          <w:rPr>
            <w:rStyle w:val="Hyperlink"/>
          </w:rPr>
          <w:t xml:space="preserve">Vibe Coding is a Slot Machine</w:t>
        </w:r>
        <w:r>
          <w:rPr>
            <w:rStyle w:val="Hyperlink"/>
          </w:rPr>
          <w:t xml:space="preserve">”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- Jeremy Howard</w:t>
        </w:r>
      </w:hyperlink>
    </w:p>
  </w:footnote>
  <w:footnote w:id="2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“</w:t>
        </w:r>
        <w:r>
          <w:rPr>
            <w:rStyle w:val="Hyperlink"/>
          </w:rPr>
          <w:t xml:space="preserve">Vibe Coding is a Slot Machine</w:t>
        </w:r>
        <w:r>
          <w:rPr>
            <w:rStyle w:val="Hyperlink"/>
          </w:rPr>
          <w:t xml:space="preserve">”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- Jeremy Howard</w:t>
        </w:r>
      </w:hyperlink>
    </w:p>
  </w:footnote>
  <w:footnote w:id="2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“</w:t>
        </w:r>
        <w:r>
          <w:rPr>
            <w:rStyle w:val="Hyperlink"/>
          </w:rPr>
          <w:t xml:space="preserve">Vibe Coding is a Slot Machine</w:t>
        </w:r>
        <w:r>
          <w:rPr>
            <w:rStyle w:val="Hyperlink"/>
          </w:rPr>
          <w:t xml:space="preserve">”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- Jeremy Howard</w:t>
        </w:r>
      </w:hyperlink>
    </w:p>
  </w:footnote>
  <w:footnote w:id="3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@rrhoover</w:t>
        </w:r>
      </w:hyperlink>
    </w:p>
  </w:footnote>
  <w:footnote w:id="3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@rrhoover</w:t>
        </w:r>
      </w:hyperlink>
    </w:p>
  </w:footnote>
  <w:footnote w:id="3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@rrhoover</w:t>
        </w:r>
      </w:hyperlink>
    </w:p>
  </w:footnote>
  <w:footnote w:id="3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@rrhoover</w:t>
        </w:r>
      </w:hyperlink>
    </w:p>
  </w:footnote>
  <w:footnote w:id="3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@rrhoover</w:t>
        </w:r>
      </w:hyperlink>
    </w:p>
  </w:footnote>
  <w:footnote w:id="3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@rrhoover</w:t>
        </w:r>
      </w:hyperlink>
    </w:p>
  </w:footnote>
  <w:footnote w:id="4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@rrhoover</w:t>
        </w:r>
      </w:hyperlink>
    </w:p>
  </w:footnote>
  <w:footnote w:id="4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@rrhoover</w:t>
        </w:r>
      </w:hyperlink>
    </w:p>
  </w:footnote>
  <w:footnote w:id="4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“</w:t>
        </w:r>
        <w:r>
          <w:rPr>
            <w:rStyle w:val="Hyperlink"/>
          </w:rPr>
          <w:t xml:space="preserve">Vibe Coding is a Slot Machine</w:t>
        </w:r>
        <w:r>
          <w:rPr>
            <w:rStyle w:val="Hyperlink"/>
          </w:rPr>
          <w:t xml:space="preserve">”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- Jeremy Howard</w:t>
        </w:r>
      </w:hyperlink>
    </w:p>
  </w:footnote>
  <w:footnote w:id="4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“</w:t>
        </w:r>
        <w:r>
          <w:rPr>
            <w:rStyle w:val="Hyperlink"/>
          </w:rPr>
          <w:t xml:space="preserve">Vibe Coding is a Slot Machine</w:t>
        </w:r>
        <w:r>
          <w:rPr>
            <w:rStyle w:val="Hyperlink"/>
          </w:rPr>
          <w:t xml:space="preserve">”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- Jeremy Howard</w:t>
        </w:r>
      </w:hyperlink>
    </w:p>
  </w:footnote>
  <w:footnote w:id="4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“</w:t>
        </w:r>
        <w:r>
          <w:rPr>
            <w:rStyle w:val="Hyperlink"/>
          </w:rPr>
          <w:t xml:space="preserve">Vibe Coding is a Slot Machine</w:t>
        </w:r>
        <w:r>
          <w:rPr>
            <w:rStyle w:val="Hyperlink"/>
          </w:rPr>
          <w:t xml:space="preserve">”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- Jeremy Howard</w:t>
        </w:r>
      </w:hyperlink>
    </w:p>
  </w:footnote>
  <w:footnote w:id="4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“</w:t>
        </w:r>
        <w:r>
          <w:rPr>
            <w:rStyle w:val="Hyperlink"/>
          </w:rPr>
          <w:t xml:space="preserve">Vibe Coding is a Slot Machine</w:t>
        </w:r>
        <w:r>
          <w:rPr>
            <w:rStyle w:val="Hyperlink"/>
          </w:rPr>
          <w:t xml:space="preserve">”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- Jeremy Howard</w:t>
        </w:r>
      </w:hyperlink>
    </w:p>
  </w:footnote>
  <w:footnote w:id="4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“</w:t>
        </w:r>
        <w:r>
          <w:rPr>
            <w:rStyle w:val="Hyperlink"/>
          </w:rPr>
          <w:t xml:space="preserve">Vibe Coding is a Slot Machine</w:t>
        </w:r>
        <w:r>
          <w:rPr>
            <w:rStyle w:val="Hyperlink"/>
          </w:rPr>
          <w:t xml:space="preserve">”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- Jeremy Howard</w:t>
        </w:r>
      </w:hyperlink>
    </w:p>
  </w:footnote>
  <w:footnote w:id="5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“</w:t>
        </w:r>
        <w:r>
          <w:rPr>
            <w:rStyle w:val="Hyperlink"/>
          </w:rPr>
          <w:t xml:space="preserve">Vibe Coding is a Slot Machine</w:t>
        </w:r>
        <w:r>
          <w:rPr>
            <w:rStyle w:val="Hyperlink"/>
          </w:rPr>
          <w:t xml:space="preserve">”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- Jeremy Howard</w:t>
        </w:r>
      </w:hyperlink>
    </w:p>
  </w:footnote>
  <w:footnote w:id="5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“</w:t>
        </w:r>
        <w:r>
          <w:rPr>
            <w:rStyle w:val="Hyperlink"/>
          </w:rPr>
          <w:t xml:space="preserve">Vibe Coding is a Slot Machine</w:t>
        </w:r>
        <w:r>
          <w:rPr>
            <w:rStyle w:val="Hyperlink"/>
          </w:rPr>
          <w:t xml:space="preserve">”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- Jeremy Howard</w:t>
        </w:r>
      </w:hyperlink>
    </w:p>
  </w:footnote>
  <w:footnote w:id="5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“</w:t>
        </w:r>
        <w:r>
          <w:rPr>
            <w:rStyle w:val="Hyperlink"/>
          </w:rPr>
          <w:t xml:space="preserve">Vibe Coding is a Slot Machine</w:t>
        </w:r>
        <w:r>
          <w:rPr>
            <w:rStyle w:val="Hyperlink"/>
          </w:rPr>
          <w:t xml:space="preserve">”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- Jeremy Howard</w:t>
        </w:r>
      </w:hyperlink>
    </w:p>
  </w:footnote>
  <w:footnote w:id="5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@iancassel</w:t>
        </w:r>
      </w:hyperlink>
    </w:p>
  </w:footnote>
  <w:footnote w:id="5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@iancassel</w:t>
        </w:r>
      </w:hyperlink>
    </w:p>
  </w:footnote>
  <w:footnote w:id="5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@rabois</w:t>
        </w:r>
      </w:hyperlink>
    </w:p>
  </w:footnote>
  <w:footnote w:id="6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@iancassel</w:t>
        </w:r>
      </w:hyperlink>
    </w:p>
  </w:footnote>
  <w:footnote w:id="6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@iancassel</w:t>
        </w:r>
      </w:hyperlink>
    </w:p>
  </w:footnote>
  <w:footnote w:id="6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5">
        <w:r>
          <w:rPr>
            <w:rStyle w:val="Hyperlink"/>
          </w:rPr>
          <w:t xml:space="preserve">Y Combinator in the Age of AI | Ep. 43</w:t>
        </w:r>
      </w:hyperlink>
    </w:p>
  </w:footnote>
  <w:footnote w:id="6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5">
        <w:r>
          <w:rPr>
            <w:rStyle w:val="Hyperlink"/>
          </w:rPr>
          <w:t xml:space="preserve">Y Combinator in the Age of AI | Ep. 43</w:t>
        </w:r>
      </w:hyperlink>
    </w:p>
  </w:footnote>
  <w:footnote w:id="6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5">
        <w:r>
          <w:rPr>
            <w:rStyle w:val="Hyperlink"/>
          </w:rPr>
          <w:t xml:space="preserve">Y Combinator in the Age of AI | Ep. 43</w:t>
        </w:r>
      </w:hyperlink>
    </w:p>
  </w:footnote>
  <w:footnote w:id="6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5">
        <w:r>
          <w:rPr>
            <w:rStyle w:val="Hyperlink"/>
          </w:rPr>
          <w:t xml:space="preserve">Y Combinator in the Age of AI | Ep. 43</w:t>
        </w:r>
      </w:hyperlink>
    </w:p>
  </w:footnote>
  <w:footnote w:id="6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5">
        <w:r>
          <w:rPr>
            <w:rStyle w:val="Hyperlink"/>
          </w:rPr>
          <w:t xml:space="preserve">Y Combinator in the Age of AI | Ep. 43</w:t>
        </w:r>
      </w:hyperlink>
    </w:p>
  </w:footnote>
  <w:footnote w:id="7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@davidsenra</w:t>
        </w:r>
      </w:hyperlink>
    </w:p>
  </w:footnote>
  <w:footnote w:id="7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@davidsenra</w:t>
        </w:r>
      </w:hyperlink>
    </w:p>
  </w:footnote>
  <w:footnote w:id="7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@davidsenra</w:t>
        </w:r>
      </w:hyperlink>
    </w:p>
  </w:footnote>
  <w:footnote w:id="7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@davidsenra</w:t>
        </w:r>
      </w:hyperlink>
    </w:p>
  </w:footnote>
  <w:footnote w:id="7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@davidsenra</w:t>
        </w:r>
      </w:hyperlink>
    </w:p>
  </w:footnote>
  <w:footnote w:id="7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@davidsenra</w:t>
        </w:r>
      </w:hyperlink>
    </w:p>
  </w:footnote>
  <w:footnote w:id="7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@davidsenra</w:t>
        </w:r>
      </w:hyperlink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5" Target="media/rId25.jpg" /><Relationship Type="http://schemas.openxmlformats.org/officeDocument/2006/relationships/hyperlink" Id="rId21" Target="https://www.youtube.com/watch?v=dHBEQ-Ryo24" TargetMode="External" /><Relationship Type="http://schemas.openxmlformats.org/officeDocument/2006/relationships/hyperlink" Id="rId65" Target="https://www.youtube.com/watch?v=s830OB11pqw" TargetMode="External" /><Relationship Type="http://schemas.openxmlformats.org/officeDocument/2006/relationships/hyperlink" Id="rId73" Target="https://x.com/davidsenra/status/2028952451584561387" TargetMode="External" /><Relationship Type="http://schemas.openxmlformats.org/officeDocument/2006/relationships/hyperlink" Id="rId56" Target="https://x.com/iancassel/status/2028643825653006448" TargetMode="External" /><Relationship Type="http://schemas.openxmlformats.org/officeDocument/2006/relationships/hyperlink" Id="rId59" Target="https://x.com/rabois/status/2028785051618431346" TargetMode="External" /><Relationship Type="http://schemas.openxmlformats.org/officeDocument/2006/relationships/hyperlink" Id="rId32" Target="https://x.com/rrhoover/status/2028891573459579254" TargetMode="External" /><Relationship Type="http://schemas.openxmlformats.org/officeDocument/2006/relationships/hyperlink" Id="rId38" Target="https://x.com/rrhoover/status/2028892131113214429" TargetMode="External" /><Relationship Type="http://schemas.openxmlformats.org/officeDocument/2006/relationships/hyperlink" Id="rId28" Target="https://youtube.com/watch?v=dHBEQ-Ryo24&amp;t=1703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s://www.youtube.com/watch?v=dHBEQ-Ryo24" TargetMode="External" /><Relationship Type="http://schemas.openxmlformats.org/officeDocument/2006/relationships/hyperlink" Id="rId65" Target="https://www.youtube.com/watch?v=s830OB11pqw" TargetMode="External" /><Relationship Type="http://schemas.openxmlformats.org/officeDocument/2006/relationships/hyperlink" Id="rId73" Target="https://x.com/davidsenra/status/2028952451584561387" TargetMode="External" /><Relationship Type="http://schemas.openxmlformats.org/officeDocument/2006/relationships/hyperlink" Id="rId56" Target="https://x.com/iancassel/status/2028643825653006448" TargetMode="External" /><Relationship Type="http://schemas.openxmlformats.org/officeDocument/2006/relationships/hyperlink" Id="rId59" Target="https://x.com/rabois/status/2028785051618431346" TargetMode="External" /><Relationship Type="http://schemas.openxmlformats.org/officeDocument/2006/relationships/hyperlink" Id="rId32" Target="https://x.com/rrhoover/status/2028891573459579254" TargetMode="External" /><Relationship Type="http://schemas.openxmlformats.org/officeDocument/2006/relationships/hyperlink" Id="rId38" Target="https://x.com/rrhoover/status/2028892131113214429" TargetMode="External" /><Relationship Type="http://schemas.openxmlformats.org/officeDocument/2006/relationships/hyperlink" Id="rId28" Target="https://youtube.com/watch?v=dHBEQ-Ryo24&amp;t=1703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Moats in the AI era, limits of software “silver bullets,” and leadership under pressure</dc:title>
  <dc:creator>Recommended Reading from Tech Founders</dc:creator>
  <cp:keywords/>
  <dcterms:created xsi:type="dcterms:W3CDTF">2026-03-04T22:06:32Z</dcterms:created>
  <dcterms:modified xsi:type="dcterms:W3CDTF">2026-03-04T22:06:32Z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2026-03-04</vt:lpwstr>
  </property>
</Properties>
</file>