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NVIDIA Extends Its AI Stack in Korea as Agents Show Utility—and Limits</w:t>
      </w:r>
    </w:p>
    <w:p>
      <w:pPr>
        <w:pStyle w:val="Author"/>
      </w:pPr>
      <w:r>
        <w:t xml:space="preserve">AI News Digest</w:t>
      </w:r>
    </w:p>
    <w:p>
      <w:pPr>
        <w:pStyle w:val="Date"/>
      </w:pPr>
      <w:r>
        <w:t xml:space="preserve">2026-06-08</w:t>
      </w:r>
    </w:p>
    <w:bookmarkStart w:id="40" w:name="Xe6168298397a7cd0c53a4e7dc4d8172ae2498db"/>
    <w:p>
      <w:pPr>
        <w:pStyle w:val="Heading1"/>
      </w:pPr>
      <w:r>
        <w:t xml:space="preserve">NVIDIA Extends Its AI Stack in Korea as Agents Show Utility—and Limits</w:t>
      </w:r>
    </w:p>
    <w:p>
      <w:pPr>
        <w:pStyle w:val="FirstParagraph"/>
      </w:pPr>
      <w:r>
        <w:rPr>
          <w:iCs/>
          <w:i/>
        </w:rPr>
        <w:t xml:space="preserve">By AI News Digest • June 8, 2026</w:t>
      </w:r>
    </w:p>
    <w:p>
      <w:pPr>
        <w:pStyle w:val="BodyText"/>
      </w:pPr>
      <w:r>
        <w:t xml:space="preserve">NVIDIA widened its reach in Korea through AI factory, robotics, mobility, and PC ecosystem moves, making its full-stack strategy unusually visible in one day. Meanwhile, OpenAI and Microsoft offered more grounded evidence of agent adoption, while a new benchmark suggested current systems remain far from autonomous self-improvement.</w:t>
      </w:r>
    </w:p>
    <w:bookmarkStart w:id="20" w:name="the-main-shift"/>
    <w:p>
      <w:pPr>
        <w:pStyle w:val="Heading2"/>
      </w:pPr>
      <w:r>
        <w:t xml:space="preserve">The main shift</w:t>
      </w:r>
    </w:p>
    <w:p>
      <w:pPr>
        <w:pStyle w:val="FirstParagraph"/>
      </w:pPr>
      <w:r>
        <w:t xml:space="preserve">NVIDIA supplied the day’s clearest strategic signal: in South Korea, it is pairing consumer AI hardware with industrial AI factory, robotics, mobility, and sovereign-model partnerships, extending its stack across laptops, factories, and data centers [1, 2, 3]. Elsewhere, updates from OpenAI, Microsoft, and a new agent benchmark painted a more grounded picture of agentic AI: strong progress on concrete workflows, but little evidence yet of true recursive self-improvement [4, 5, 6, 7].</w:t>
      </w:r>
    </w:p>
    <w:bookmarkEnd w:id="20"/>
    <w:bookmarkStart w:id="23" w:name="X4bb09cc4e25f14fd8099840901388f7b7379e76"/>
    <w:p>
      <w:pPr>
        <w:pStyle w:val="Heading2"/>
      </w:pPr>
      <w:r>
        <w:t xml:space="preserve">NVIDIA expands from PCs into Korean AI infrastructure</w:t>
      </w:r>
    </w:p>
    <w:bookmarkStart w:id="21" w:name="Xb455234be106bae1a7e212cf9e9f91701d7ffae"/>
    <w:p>
      <w:pPr>
        <w:pStyle w:val="Heading3"/>
      </w:pPr>
      <w:r>
        <w:t xml:space="preserve">LG and Doosan make the AI factory pitch more concrete</w:t>
      </w:r>
    </w:p>
    <w:p>
      <w:pPr>
        <w:pStyle w:val="FirstParagraph"/>
      </w:pPr>
      <w:r>
        <w:t xml:space="preserve">NVIDIA said it is building an AI factory with LG Group across robotics, autonomous driving, data center technologies, and GPU cloud services, with a workflow linking AI model development, physical AI data generation, robot simulation, edge deployment, and digital twins [2]. LG plans to use Isaac Sim, Isaac Lab, and Isaac GR00T for robots, Cosmos for synthetic data, DRIVE Hyperion and DRIVE AGX for mobility, and Blackwell GPUs, NeMo, and TensorRT-LLM to advance the EXAONE sovereign model family [2].</w:t>
      </w:r>
    </w:p>
    <w:p>
      <w:pPr>
        <w:pStyle w:val="BodyText"/>
      </w:pPr>
      <w:r>
        <w:t xml:space="preserve">In parallel, NVIDIA and Doosan expanded work across industrial robotics, autonomous equipment, power systems, and AI data center materials. Doosan Robotics is integrating Isaac Sim, Isaac Lab, Cosmos, Newton, and Jetson Thor into its Agentic Robot OS, while Doosan Bobcat is exploring physical AI for compact autonomous machinery and Doosan Enerbility is evaluating power infrastructure for DSX-based AI factories [3].</w:t>
      </w:r>
    </w:p>
    <w:p>
      <w:pPr>
        <w:pStyle w:val="BodyText"/>
      </w:pPr>
      <w:r>
        <w:rPr>
          <w:iCs/>
          <w:i/>
        </w:rPr>
        <w:t xml:space="preserve">Why it matters:</w:t>
      </w:r>
      <w:r>
        <w:t xml:space="preserve"> </w:t>
      </w:r>
      <w:r>
        <w:t xml:space="preserve">Taken together, these announcements show NVIDIA selling a full deployment stack—not just accelerators—across robotics, mobility, synthetic data, power, and sovereign AI infrastructure [2, 3].</w:t>
      </w:r>
    </w:p>
    <w:bookmarkEnd w:id="21"/>
    <w:bookmarkStart w:id="22" w:name="Xa19c6847cb0ea88d8d530e6643da1d472b5abf6"/>
    <w:p>
      <w:pPr>
        <w:pStyle w:val="Heading3"/>
      </w:pPr>
      <w:r>
        <w:t xml:space="preserve">RTX Spark gets named software and game support</w:t>
      </w:r>
    </w:p>
    <w:p>
      <w:pPr>
        <w:pStyle w:val="FirstParagraph"/>
      </w:pPr>
      <w:r>
        <w:t xml:space="preserve">Following last week’s RTX Spark unveiling, NVIDIA said the Windows PC chip is designed for local AI, creation, and gaming on slim laptops with all-day battery life, and that developers including KRAFTON, NC, Riot Games, NetEase, Remedy Entertainment, and XBOX are already supporting the platform [1]. The company highlighted AAA gaming at 1440p and 100+ FPS, ACE-powered game characters such as PUBG Ally, and launch support for DLSS 4.5 features in titles including CINDER CITY [1].</w:t>
      </w:r>
    </w:p>
    <w:p>
      <w:pPr>
        <w:pStyle w:val="BodyText"/>
      </w:pPr>
      <w:r>
        <w:rPr>
          <w:iCs/>
          <w:i/>
        </w:rPr>
        <w:t xml:space="preserve">Why it matters:</w:t>
      </w:r>
      <w:r>
        <w:t xml:space="preserve"> </w:t>
      </w:r>
      <w:r>
        <w:t xml:space="preserve">This is less about another chip announcement than about early ecosystem proof: NVIDIA is pairing its local-AI PC pitch with named content, developer, and software support [1].</w:t>
      </w:r>
    </w:p>
    <w:bookmarkEnd w:id="22"/>
    <w:bookmarkEnd w:id="23"/>
    <w:bookmarkStart w:id="25" w:name="agentic-tools-are-getting-more-practical"/>
    <w:p>
      <w:pPr>
        <w:pStyle w:val="Heading2"/>
      </w:pPr>
      <w:r>
        <w:t xml:space="preserve">Agentic tools are getting more practical</w:t>
      </w:r>
    </w:p>
    <w:bookmarkStart w:id="24" w:name="X293cc613a75958f0cd814447e6b749bc98d2186"/>
    <w:p>
      <w:pPr>
        <w:pStyle w:val="Heading3"/>
      </w:pPr>
      <w:r>
        <w:t xml:space="preserve">Codex and Copilot both emphasize workflow utility over grand claims</w:t>
      </w:r>
    </w:p>
    <w:p>
      <w:pPr>
        <w:pStyle w:val="FirstParagraph"/>
      </w:pPr>
      <w:r>
        <w:t xml:space="preserve">OpenAI published a broad set of Codex workflows spanning pull request review, Figma-to-code, large-codebase understanding, bug triage, spreadsheet queries, app deployment, slide creation, task extraction from Slack, and direct computer control [4]. Greg Brockman framed the shift simply: Codex is becoming</w:t>
      </w:r>
      <w:r>
        <w:t xml:space="preserve"> </w:t>
      </w:r>
      <w:r>
        <w:t xml:space="preserve">“</w:t>
      </w:r>
      <w:r>
        <w:t xml:space="preserve">an AI teammate instead of just an AI assistant</w:t>
      </w:r>
      <w:r>
        <w:t xml:space="preserve">”</w:t>
      </w:r>
      <w:r>
        <w:t xml:space="preserve"> </w:t>
      </w:r>
      <w:r>
        <w:t xml:space="preserve">[8].</w:t>
      </w:r>
    </w:p>
    <w:p>
      <w:pPr>
        <w:pStyle w:val="BodyText"/>
      </w:pPr>
      <w:r>
        <w:t xml:space="preserve">Separately, Microsoft said NHS England is scaling Microsoft 365 Copilot to more than 500,000 staff, with early trials showing average time savings of 43 minutes per day that could be redirected to patient care [5].</w:t>
      </w:r>
    </w:p>
    <w:p>
      <w:pPr>
        <w:pStyle w:val="BlockText"/>
      </w:pPr>
      <w:r>
        <w:t xml:space="preserve">“</w:t>
      </w:r>
      <w:r>
        <w:t xml:space="preserve">Codex is becoming an AI teammate instead of just an AI assistant.</w:t>
      </w:r>
      <w:r>
        <w:t xml:space="preserve">”</w:t>
      </w:r>
      <w:r>
        <w:t xml:space="preserve"> </w:t>
      </w:r>
      <w:r>
        <w:t xml:space="preserve">[8]</w:t>
      </w:r>
    </w:p>
    <w:p>
      <w:pPr>
        <w:pStyle w:val="FirstParagraph"/>
      </w:pPr>
      <w:r>
        <w:rPr>
          <w:iCs/>
          <w:i/>
        </w:rPr>
        <w:t xml:space="preserve">Why it matters:</w:t>
      </w:r>
      <w:r>
        <w:t xml:space="preserve"> </w:t>
      </w:r>
      <w:r>
        <w:t xml:space="preserve">The stronger signal today is operational. Rather than promising fully autonomous systems, these updates focus on bounded tasks, measurable time savings, and integration into everyday work [4, 5].</w:t>
      </w:r>
    </w:p>
    <w:bookmarkEnd w:id="24"/>
    <w:bookmarkEnd w:id="25"/>
    <w:bookmarkStart w:id="27" w:name="X97e897480ce092269105f25d6e99e356fb5de99"/>
    <w:p>
      <w:pPr>
        <w:pStyle w:val="Heading2"/>
      </w:pPr>
      <w:r>
        <w:t xml:space="preserve">But autonomous self-improvement still looks distant</w:t>
      </w:r>
    </w:p>
    <w:bookmarkStart w:id="26" w:name="Xbb78e45c1795c509a5787e1b68cc2173ed7d2b5"/>
    <w:p>
      <w:pPr>
        <w:pStyle w:val="Heading3"/>
      </w:pPr>
      <w:r>
        <w:t xml:space="preserve">Meta-Agent Challenge pushes back on RSI narratives</w:t>
      </w:r>
    </w:p>
    <w:p>
      <w:pPr>
        <w:pStyle w:val="FirstParagraph"/>
      </w:pPr>
      <w:r>
        <w:t xml:space="preserve">The Meta-Agent Challenge benchmark tests whether current agents can invent strategies, write code, test, learn from failure, and improve another agent without human design help across math, science, programming, bug fixing, and terminal tasks [6]. Its main result: current agents usually do not beat strong human-made agent setups, and the better results mostly come from closed frontier models like Claude [6].</w:t>
      </w:r>
    </w:p>
    <w:p>
      <w:pPr>
        <w:pStyle w:val="BodyText"/>
      </w:pPr>
      <w:r>
        <w:t xml:space="preserve">The paper summary highlights missing ingredients such as budget awareness, failure recovery, restraint, and the ability to change designs instead of polishing a bad one [6]. Gary Marcus distilled the implication bluntly:</w:t>
      </w:r>
      <w:r>
        <w:t xml:space="preserve"> </w:t>
      </w:r>
      <w:r>
        <w:t xml:space="preserve">“</w:t>
      </w:r>
      <w:r>
        <w:t xml:space="preserve">we aren’t close to RSI</w:t>
      </w:r>
      <w:r>
        <w:t xml:space="preserve">”</w:t>
      </w:r>
      <w:r>
        <w:t xml:space="preserve"> </w:t>
      </w:r>
      <w:r>
        <w:t xml:space="preserve">[7].</w:t>
      </w:r>
    </w:p>
    <w:p>
      <w:pPr>
        <w:pStyle w:val="BodyText"/>
      </w:pPr>
      <w:r>
        <w:rPr>
          <w:iCs/>
          <w:i/>
        </w:rPr>
        <w:t xml:space="preserve">Why it matters:</w:t>
      </w:r>
      <w:r>
        <w:t xml:space="preserve"> </w:t>
      </w:r>
      <w:r>
        <w:t xml:space="preserve">This is a useful counterweight to the current wave of agent marketing. AI systems are getting better at assisting with work, but this benchmark suggests autonomous AI engineering remains a much harder problem [6, 7].</w:t>
      </w:r>
    </w:p>
    <w:bookmarkEnd w:id="26"/>
    <w:bookmarkEnd w:id="27"/>
    <w:bookmarkStart w:id="39" w:name="one-industry-signal-to-watch"/>
    <w:p>
      <w:pPr>
        <w:pStyle w:val="Heading2"/>
      </w:pPr>
      <w:r>
        <w:t xml:space="preserve">One industry signal to watch</w:t>
      </w:r>
    </w:p>
    <w:bookmarkStart w:id="28" w:name="X4959863087707ecee9200519f205a1cdb0347fc"/>
    <w:p>
      <w:pPr>
        <w:pStyle w:val="Heading3"/>
      </w:pPr>
      <w:r>
        <w:t xml:space="preserve">Coinbase argues most AI workloads will migrate to much cheaper models</w:t>
      </w:r>
    </w:p>
    <w:p>
      <w:pPr>
        <w:pStyle w:val="FirstParagraph"/>
      </w:pPr>
      <w:r>
        <w:t xml:space="preserve">Brian Armstrong argued that demand for intelligence is</w:t>
      </w:r>
      <w:r>
        <w:t xml:space="preserve"> </w:t>
      </w:r>
      <w:r>
        <w:t xml:space="preserve">“</w:t>
      </w:r>
      <w:r>
        <w:t xml:space="preserve">near infinite,</w:t>
      </w:r>
      <w:r>
        <w:t xml:space="preserve">”</w:t>
      </w:r>
      <w:r>
        <w:t xml:space="preserve"> </w:t>
      </w:r>
      <w:r>
        <w:t xml:space="preserve">but that 80% of workloads will run on models that are 99% cheaper within 12-18 months, while only 20% will need the latest-generation models for high-IQ tasks such as scientific breakthroughs [9]. He added that Coinbase is already routing prompts to cheaper models where possible, keeping costs roughly flat even as token usage grows exponentially [9].</w:t>
      </w:r>
    </w:p>
    <w:p>
      <w:pPr>
        <w:pStyle w:val="BodyText"/>
      </w:pPr>
      <w:r>
        <w:rPr>
          <w:iCs/>
          <w:i/>
        </w:rPr>
        <w:t xml:space="preserve">Why it matters:</w:t>
      </w:r>
      <w:r>
        <w:t xml:space="preserve"> </w:t>
      </w:r>
      <w:r>
        <w:t xml:space="preserve">Even as a forecast rather than a result, this captures a live shift in industry thinking: the next bottleneck may be cost, energy, and compute allocation rather than access to a single best model [9].</w:t>
      </w:r>
    </w:p>
    <w:p>
      <w:r>
        <w:pict>
          <v:rect style="width:0;height:1.5pt" o:hralign="center" o:hrstd="t" o:hr="t"/>
        </w:pict>
      </w:r>
    </w:p>
    <w:bookmarkEnd w:id="28"/>
    <w:bookmarkStart w:id="38" w:name="sources"/>
    <w:p>
      <w:pPr>
        <w:pStyle w:val="Heading3"/>
      </w:pPr>
      <w:r>
        <w:t xml:space="preserve">Sources</w:t>
      </w:r>
    </w:p>
    <w:p>
      <w:pPr>
        <w:numPr>
          <w:ilvl w:val="0"/>
          <w:numId w:val="1001"/>
        </w:numPr>
        <w:pStyle w:val="Compact"/>
      </w:pPr>
      <w:hyperlink r:id="rId29">
        <w:r>
          <w:rPr>
            <w:rStyle w:val="Hyperlink"/>
          </w:rPr>
          <w:t xml:space="preserve">NVIDIA, KRAFTON, NC and Reigning</w:t>
        </w:r>
        <w:r>
          <w:rPr>
            <w:rStyle w:val="Hyperlink"/>
          </w:rPr>
          <w:t xml:space="preserve"> </w:t>
        </w:r>
        <w:r>
          <w:rPr>
            <w:rStyle w:val="Hyperlink"/>
          </w:rPr>
          <w:t xml:space="preserve">‘</w:t>
        </w:r>
        <w:r>
          <w:rPr>
            <w:rStyle w:val="Hyperlink"/>
          </w:rPr>
          <w:t xml:space="preserve">League of Legends</w:t>
        </w:r>
        <w:r>
          <w:rPr>
            <w:rStyle w:val="Hyperlink"/>
          </w:rPr>
          <w:t xml:space="preserve">’</w:t>
        </w:r>
        <w:r>
          <w:rPr>
            <w:rStyle w:val="Hyperlink"/>
          </w:rPr>
          <w:t xml:space="preserve"> </w:t>
        </w:r>
        <w:r>
          <w:rPr>
            <w:rStyle w:val="Hyperlink"/>
          </w:rPr>
          <w:t xml:space="preserve">Champions T1 Celebrate RTX Spark at Korea’s PC Bangs</w:t>
        </w:r>
      </w:hyperlink>
    </w:p>
    <w:p>
      <w:pPr>
        <w:numPr>
          <w:ilvl w:val="0"/>
          <w:numId w:val="1001"/>
        </w:numPr>
        <w:pStyle w:val="Compact"/>
      </w:pPr>
      <w:hyperlink r:id="rId30">
        <w:r>
          <w:rPr>
            <w:rStyle w:val="Hyperlink"/>
          </w:rPr>
          <w:t xml:space="preserve">NVIDIA and LG Group Build an AI Factory to Advance Physical AI, Mobility and AI Infrastructure</w:t>
        </w:r>
      </w:hyperlink>
    </w:p>
    <w:p>
      <w:pPr>
        <w:numPr>
          <w:ilvl w:val="0"/>
          <w:numId w:val="1001"/>
        </w:numPr>
        <w:pStyle w:val="Compact"/>
      </w:pPr>
      <w:hyperlink r:id="rId31">
        <w:r>
          <w:rPr>
            <w:rStyle w:val="Hyperlink"/>
          </w:rPr>
          <w:t xml:space="preserve">NVIDIA and Doosan Group Collaborate to Advance Physical AI and AI Factory Infrastructure</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@suraj_sharma14</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@satyanadella</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@rohanpaul_ai</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@gdb</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@brian_armstrong</w:t>
        </w:r>
      </w:hyperlink>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blogs.nvidia.com/blog/krafton-nc-t1-korea-gaming-pc-bang-rtx-spark" TargetMode="External" /><Relationship Type="http://schemas.openxmlformats.org/officeDocument/2006/relationships/hyperlink" Id="rId31" Target="https://blogs.nvidia.com/blog/nvidia-and-doosan-group-physical-ai" TargetMode="External" /><Relationship Type="http://schemas.openxmlformats.org/officeDocument/2006/relationships/hyperlink" Id="rId30" Target="https://blogs.nvidia.com/blog/nvidia-and-lg-group-ai-factory" TargetMode="External" /><Relationship Type="http://schemas.openxmlformats.org/officeDocument/2006/relationships/hyperlink" Id="rId35" Target="https://x.com/GaryMarcus/status/2063855257285792157" TargetMode="External" /><Relationship Type="http://schemas.openxmlformats.org/officeDocument/2006/relationships/hyperlink" Id="rId37" Target="https://x.com/brian_armstrong/status/2063782620815876515" TargetMode="External" /><Relationship Type="http://schemas.openxmlformats.org/officeDocument/2006/relationships/hyperlink" Id="rId36" Target="https://x.com/gdb/status/2063705280270021087" TargetMode="External" /><Relationship Type="http://schemas.openxmlformats.org/officeDocument/2006/relationships/hyperlink" Id="rId34" Target="https://x.com/rohanpaul_ai/status/2063698758517366884" TargetMode="External" /><Relationship Type="http://schemas.openxmlformats.org/officeDocument/2006/relationships/hyperlink" Id="rId33" Target="https://x.com/satyanadella/status/2063633495302533158" TargetMode="External" /><Relationship Type="http://schemas.openxmlformats.org/officeDocument/2006/relationships/hyperlink" Id="rId32" Target="https://x.com/suraj_sharma14/status/2063589795813785841" TargetMode="External" /></Relationships>
</file>

<file path=word/_rels/footnotes.xml.rels><?xml version="1.0" encoding="UTF-8"?><Relationships xmlns="http://schemas.openxmlformats.org/package/2006/relationships"><Relationship Type="http://schemas.openxmlformats.org/officeDocument/2006/relationships/hyperlink" Id="rId29" Target="https://blogs.nvidia.com/blog/krafton-nc-t1-korea-gaming-pc-bang-rtx-spark" TargetMode="External" /><Relationship Type="http://schemas.openxmlformats.org/officeDocument/2006/relationships/hyperlink" Id="rId31" Target="https://blogs.nvidia.com/blog/nvidia-and-doosan-group-physical-ai" TargetMode="External" /><Relationship Type="http://schemas.openxmlformats.org/officeDocument/2006/relationships/hyperlink" Id="rId30" Target="https://blogs.nvidia.com/blog/nvidia-and-lg-group-ai-factory" TargetMode="External" /><Relationship Type="http://schemas.openxmlformats.org/officeDocument/2006/relationships/hyperlink" Id="rId35" Target="https://x.com/GaryMarcus/status/2063855257285792157" TargetMode="External" /><Relationship Type="http://schemas.openxmlformats.org/officeDocument/2006/relationships/hyperlink" Id="rId37" Target="https://x.com/brian_armstrong/status/2063782620815876515" TargetMode="External" /><Relationship Type="http://schemas.openxmlformats.org/officeDocument/2006/relationships/hyperlink" Id="rId36" Target="https://x.com/gdb/status/2063705280270021087" TargetMode="External" /><Relationship Type="http://schemas.openxmlformats.org/officeDocument/2006/relationships/hyperlink" Id="rId34" Target="https://x.com/rohanpaul_ai/status/2063698758517366884" TargetMode="External" /><Relationship Type="http://schemas.openxmlformats.org/officeDocument/2006/relationships/hyperlink" Id="rId33" Target="https://x.com/satyanadella/status/2063633495302533158" TargetMode="External" /><Relationship Type="http://schemas.openxmlformats.org/officeDocument/2006/relationships/hyperlink" Id="rId32" Target="https://x.com/suraj_sharma14/status/206358979581378584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NVIDIA Extends Its AI Stack in Korea as Agents Show Utility—and Limits</dc:title>
  <dc:creator>AI News Digest</dc:creator>
  <cp:keywords/>
  <dcterms:created xsi:type="dcterms:W3CDTF">2026-06-08T17:54:55Z</dcterms:created>
  <dcterms:modified xsi:type="dcterms:W3CDTF">2026-06-08T17:54:55Z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2026-06-08</vt:lpwstr>
  </property>
</Properties>
</file>