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NVIDIA’s Reported OpenAI Backstop Meets the Shift to Agent Workflows</w:t>
      </w:r>
    </w:p>
    <w:p>
      <w:pPr>
        <w:pStyle w:val="Author"/>
      </w:pPr>
      <w:r>
        <w:t xml:space="preserve">AI News Digest</w:t>
      </w:r>
    </w:p>
    <w:p>
      <w:pPr>
        <w:pStyle w:val="Date"/>
      </w:pPr>
      <w:r>
        <w:t xml:space="preserve">2026-07-27</w:t>
      </w:r>
    </w:p>
    <w:bookmarkStart w:id="35" w:name="X5efc63b2b1f783af7e5012472994cd10904abbe"/>
    <w:p>
      <w:pPr>
        <w:pStyle w:val="Heading1"/>
      </w:pPr>
      <w:r>
        <w:t xml:space="preserve">NVIDIA’s Reported OpenAI Backstop Meets the Shift to Agent Workflows</w:t>
      </w:r>
    </w:p>
    <w:p>
      <w:pPr>
        <w:pStyle w:val="FirstParagraph"/>
      </w:pPr>
      <w:r>
        <w:rPr>
          <w:iCs/>
          <w:i/>
        </w:rPr>
        <w:t xml:space="preserve">By AI News Digest • July 27, 2026</w:t>
      </w:r>
    </w:p>
    <w:p>
      <w:pPr>
        <w:pStyle w:val="BodyText"/>
      </w:pPr>
      <w:r>
        <w:t xml:space="preserve">NVIDIA is reportedly considering an unprecedented financing backstop for OpenAI infrastructure as AI products extend into multi-step work. The digest also tracks a new wave of open models built for agent workflows and competing views on how safety, international collaboration, and open access fit together.</w:t>
      </w:r>
    </w:p>
    <w:bookmarkStart w:id="20" w:name="Xf541ac207b10dcbfe2f26d3bb8121af0fd323d5"/>
    <w:p>
      <w:pPr>
        <w:pStyle w:val="Heading2"/>
      </w:pPr>
      <w:r>
        <w:t xml:space="preserve">NVIDIA reportedly considers a vast OpenAI data-center financing backstop</w:t>
      </w:r>
    </w:p>
    <w:p>
      <w:pPr>
        <w:pStyle w:val="FirstParagraph"/>
      </w:pPr>
      <w:r>
        <w:t xml:space="preserve">A post citing</w:t>
      </w:r>
      <w:r>
        <w:t xml:space="preserve"> </w:t>
      </w:r>
      <w:r>
        <w:rPr>
          <w:iCs/>
          <w:i/>
        </w:rPr>
        <w:t xml:space="preserve">The Wall Street Journal</w:t>
      </w:r>
      <w:r>
        <w:t xml:space="preserve"> </w:t>
      </w:r>
      <w:r>
        <w:t xml:space="preserve">said NVIDIA is in talks to provide a</w:t>
      </w:r>
      <w:r>
        <w:t xml:space="preserve"> </w:t>
      </w:r>
      <w:r>
        <w:rPr>
          <w:bCs/>
          <w:b/>
        </w:rPr>
        <w:t xml:space="preserve">$250 billion financial backstop</w:t>
      </w:r>
      <w:r>
        <w:t xml:space="preserve"> </w:t>
      </w:r>
      <w:r>
        <w:t xml:space="preserve">for an OpenAI data center in Ohio, with the facility potentially costing</w:t>
      </w:r>
      <w:r>
        <w:t xml:space="preserve"> </w:t>
      </w:r>
      <w:r>
        <w:rPr>
          <w:bCs/>
          <w:b/>
        </w:rPr>
        <w:t xml:space="preserve">$500 billion</w:t>
      </w:r>
      <w:r>
        <w:t xml:space="preserve"> </w:t>
      </w:r>
      <w:r>
        <w:t xml:space="preserve">in total. [1] Gary Marcus questioned whether the project could proceed without NVIDIA’s support. [2]</w:t>
      </w:r>
    </w:p>
    <w:p>
      <w:pPr>
        <w:pStyle w:val="BodyText"/>
      </w:pPr>
      <w:r>
        <w:rPr>
          <w:iCs/>
          <w:i/>
        </w:rPr>
        <w:t xml:space="preserve">Why it matters:</w:t>
      </w:r>
      <w:r>
        <w:t xml:space="preserve"> </w:t>
      </w:r>
      <w:r>
        <w:t xml:space="preserve">If confirmed, the arrangement would put a major chip supplier directly behind financing for infrastructure on an unusually large scale—not simply supplying the hardware.</w:t>
      </w:r>
    </w:p>
    <w:bookmarkEnd w:id="20"/>
    <w:bookmarkStart w:id="21" w:name="X8c13585453106052c3c9443dc34cd0aa4a99588"/>
    <w:p>
      <w:pPr>
        <w:pStyle w:val="Heading2"/>
      </w:pPr>
      <w:r>
        <w:t xml:space="preserve">AI products push further into multi-step work</w:t>
      </w:r>
    </w:p>
    <w:p>
      <w:pPr>
        <w:pStyle w:val="FirstParagraph"/>
      </w:pPr>
      <w:r>
        <w:t xml:space="preserve">Sam Altman said ChatGPT completed a single mobile request to use his chat history, generate trip options for eight friends, create a coordination website, make reservations after agreement, and draft a Gmail message. Greg Brockman amplified the example as an invitation to</w:t>
      </w:r>
      <w:r>
        <w:t xml:space="preserve"> </w:t>
      </w:r>
      <w:r>
        <w:t xml:space="preserve">“</w:t>
      </w:r>
      <w:r>
        <w:t xml:space="preserve">put chatgpt to work.</w:t>
      </w:r>
      <w:r>
        <w:t xml:space="preserve">”</w:t>
      </w:r>
      <w:r>
        <w:t xml:space="preserve"> </w:t>
      </w:r>
      <w:r>
        <w:t xml:space="preserve">[3, 4]</w:t>
      </w:r>
    </w:p>
    <w:p>
      <w:pPr>
        <w:pStyle w:val="BodyText"/>
      </w:pPr>
      <w:r>
        <w:t xml:space="preserve">Elsewhere, xAI added a</w:t>
      </w:r>
      <w:r>
        <w:t xml:space="preserve"> </w:t>
      </w:r>
      <w:r>
        <w:rPr>
          <w:rStyle w:val="VerbatimChar"/>
        </w:rPr>
        <w:t xml:space="preserve">/deep-research</w:t>
      </w:r>
      <w:r>
        <w:t xml:space="preserve"> </w:t>
      </w:r>
      <w:r>
        <w:t xml:space="preserve">command to Grok Build, described as using bounded parallel agents to cross-check evidence and write cited reports. [5] Sakana AI also released a Claude Code-compatible interface for Fugu-Ultra v1.1, allowing terminal users to orchestrate a pool of frontier models rather than rely on one model for coding tasks. [6]</w:t>
      </w:r>
    </w:p>
    <w:p>
      <w:pPr>
        <w:pStyle w:val="BodyText"/>
      </w:pPr>
      <w:r>
        <w:rPr>
          <w:iCs/>
          <w:i/>
        </w:rPr>
        <w:t xml:space="preserve">Why it matters:</w:t>
      </w:r>
      <w:r>
        <w:t xml:space="preserve"> </w:t>
      </w:r>
      <w:r>
        <w:t xml:space="preserve">The emphasis is shifting from isolated answers toward workflows that coordinate research, software work, and actions across several steps.</w:t>
      </w:r>
    </w:p>
    <w:bookmarkEnd w:id="21"/>
    <w:bookmarkStart w:id="22" w:name="X0090637732d16e590a8b50b66462b28c53a7aad"/>
    <w:p>
      <w:pPr>
        <w:pStyle w:val="Heading2"/>
      </w:pPr>
      <w:r>
        <w:t xml:space="preserve">Open models diversify around agent execution and efficiency</w:t>
      </w:r>
    </w:p>
    <w:p>
      <w:pPr>
        <w:pStyle w:val="FirstParagraph"/>
      </w:pPr>
      <w:r>
        <w:t xml:space="preserve">inclusionAI released</w:t>
      </w:r>
      <w:r>
        <w:t xml:space="preserve"> </w:t>
      </w:r>
      <w:r>
        <w:rPr>
          <w:bCs/>
          <w:b/>
        </w:rPr>
        <w:t xml:space="preserve">Ling-3.0-flash</w:t>
      </w:r>
      <w:r>
        <w:t xml:space="preserve">, an API-only sparse-MoE model aimed at low-latency agent-graph roles such as loops, routers, and single-step executors. It has 124B total parameters but 5.1B active parameters, a 256K context window, a claimed time-to-first-token below 100ms, and toggleable thinking; the company says it trained the model for long-horizon tool calling. [7] It is available through OpenRouter free until August 3. [7]</w:t>
      </w:r>
    </w:p>
    <w:p>
      <w:pPr>
        <w:pStyle w:val="BodyText"/>
      </w:pPr>
      <w:r>
        <w:t xml:space="preserve">The broader open-weight release cycle also included Poolside’s</w:t>
      </w:r>
      <w:r>
        <w:t xml:space="preserve"> </w:t>
      </w:r>
      <w:r>
        <w:rPr>
          <w:bCs/>
          <w:b/>
        </w:rPr>
        <w:t xml:space="preserve">Laguna S 2.1</w:t>
      </w:r>
      <w:r>
        <w:t xml:space="preserve">—a 118B sparse MoE with 8B active parameters and a 1M-token context window—and Upstage’s 250B-A15B hybrid-MoE</w:t>
      </w:r>
      <w:r>
        <w:t xml:space="preserve"> </w:t>
      </w:r>
      <w:r>
        <w:rPr>
          <w:bCs/>
          <w:b/>
        </w:rPr>
        <w:t xml:space="preserve">Solar Open 2</w:t>
      </w:r>
      <w:r>
        <w:t xml:space="preserve">. [8] Sebastian Raschka also highlighted smaller or more specialized releases, including Cisco’s 1B-parameter Antares for terminal-based cybersecurity and a LoRA adapter for coding agents. [8]</w:t>
      </w:r>
    </w:p>
    <w:p>
      <w:pPr>
        <w:pStyle w:val="BodyText"/>
      </w:pPr>
      <w:r>
        <w:rPr>
          <w:iCs/>
          <w:i/>
        </w:rPr>
        <w:t xml:space="preserve">Why it matters:</w:t>
      </w:r>
      <w:r>
        <w:t xml:space="preserve"> </w:t>
      </w:r>
      <w:r>
        <w:t xml:space="preserve">The releases illustrate a practical split in open-model development: very large sparse models for long context and capability, alongside targeted, efficient models designed to sit inside agent systems.</w:t>
      </w:r>
    </w:p>
    <w:bookmarkEnd w:id="22"/>
    <w:bookmarkStart w:id="34" w:name="X8a019a71c23d1e0002093db4bbefaf2f55d0df3"/>
    <w:p>
      <w:pPr>
        <w:pStyle w:val="Heading2"/>
      </w:pPr>
      <w:r>
        <w:t xml:space="preserve">Safety and openness remain intertwined in the global AI debate</w:t>
      </w:r>
    </w:p>
    <w:p>
      <w:pPr>
        <w:pStyle w:val="FirstParagraph"/>
      </w:pPr>
      <w:r>
        <w:t xml:space="preserve">In a video message, Yoshua Bengio said frontier models are advancing in planning and reasoning while expanding into robotics, making safe and trustworthy AI increasingly important amid an intensifying global AI race. [9] He said Japan’s robotics, manufacturing, and engineering strengths position it to lead work on trustworthy AI, and advocated a Japan–Canada partnership as a safety- and cooperation-focused</w:t>
      </w:r>
      <w:r>
        <w:t xml:space="preserve"> </w:t>
      </w:r>
      <w:r>
        <w:t xml:space="preserve">“</w:t>
      </w:r>
      <w:r>
        <w:t xml:space="preserve">third pole</w:t>
      </w:r>
      <w:r>
        <w:t xml:space="preserve">”</w:t>
      </w:r>
      <w:r>
        <w:t xml:space="preserve"> </w:t>
      </w:r>
      <w:r>
        <w:t xml:space="preserve">in the AI ecosystem. [9]</w:t>
      </w:r>
    </w:p>
    <w:p>
      <w:pPr>
        <w:pStyle w:val="BodyText"/>
      </w:pPr>
      <w:r>
        <w:t xml:space="preserve">Sakana AI, meanwhile, signed the</w:t>
      </w:r>
      <w:r>
        <w:t xml:space="preserve"> </w:t>
      </w:r>
      <w:r>
        <w:t xml:space="preserve">“</w:t>
      </w:r>
      <w:r>
        <w:t xml:space="preserve">Open Weights and American AI Leadership</w:t>
      </w:r>
      <w:r>
        <w:t xml:space="preserve">”</w:t>
      </w:r>
      <w:r>
        <w:t xml:space="preserve"> </w:t>
      </w:r>
      <w:r>
        <w:t xml:space="preserve">letter, which argues that open-weight models expand access, promote competition and user control, and improve safety. [10]</w:t>
      </w:r>
    </w:p>
    <w:p>
      <w:pPr>
        <w:pStyle w:val="BodyText"/>
      </w:pPr>
      <w:r>
        <w:rPr>
          <w:iCs/>
          <w:i/>
        </w:rPr>
        <w:t xml:space="preserve">Why it matters:</w:t>
      </w:r>
      <w:r>
        <w:t xml:space="preserve"> </w:t>
      </w:r>
      <w:r>
        <w:t xml:space="preserve">Safety is being framed through both governance and technical access: Bengio emphasizes trusted international cooperation, while the open-weights letter argues that broader model availability can itself support a healthier and safer ecosystem.</w:t>
      </w:r>
    </w:p>
    <w:p>
      <w:r>
        <w:pict>
          <v:rect style="width:0;height:1.5pt" o:hralign="center" o:hrstd="t" o:hr="t"/>
        </w:pict>
      </w:r>
    </w:p>
    <w:bookmarkStart w:id="33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1"/>
        </w:numPr>
        <w:pStyle w:val="Compact"/>
      </w:pPr>
      <w:hyperlink r:id="rId2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@jukan05</w:t>
        </w:r>
      </w:hyperlink>
    </w:p>
    <w:p>
      <w:pPr>
        <w:numPr>
          <w:ilvl w:val="0"/>
          <w:numId w:val="1001"/>
        </w:numPr>
        <w:pStyle w:val="Compact"/>
      </w:pPr>
      <w:hyperlink r:id="rId2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@GaryMarcus</w:t>
        </w:r>
      </w:hyperlink>
    </w:p>
    <w:p>
      <w:pPr>
        <w:numPr>
          <w:ilvl w:val="0"/>
          <w:numId w:val="1001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@sama</w:t>
        </w:r>
      </w:hyperlink>
    </w:p>
    <w:p>
      <w:pPr>
        <w:numPr>
          <w:ilvl w:val="0"/>
          <w:numId w:val="1001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@gdb</w:t>
        </w:r>
      </w:hyperlink>
    </w:p>
    <w:p>
      <w:pPr>
        <w:numPr>
          <w:ilvl w:val="0"/>
          <w:numId w:val="1001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@techdevnotes</w:t>
        </w:r>
      </w:hyperlink>
    </w:p>
    <w:p>
      <w:pPr>
        <w:numPr>
          <w:ilvl w:val="0"/>
          <w:numId w:val="1001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@SakanaAILabs</w:t>
        </w:r>
      </w:hyperlink>
    </w:p>
    <w:p>
      <w:pPr>
        <w:numPr>
          <w:ilvl w:val="0"/>
          <w:numId w:val="1001"/>
        </w:numPr>
        <w:pStyle w:val="Compact"/>
      </w:pPr>
      <w:hyperlink r:id="rId29">
        <w:r>
          <w:rPr>
            <w:rStyle w:val="Hyperlink"/>
          </w:rPr>
          <w:t xml:space="preserve">r/LocalLLM post by u/aegaddd</w:t>
        </w:r>
      </w:hyperlink>
    </w:p>
    <w:p>
      <w:pPr>
        <w:numPr>
          <w:ilvl w:val="0"/>
          <w:numId w:val="1001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@rasbt</w:t>
        </w:r>
      </w:hyperlink>
    </w:p>
    <w:p>
      <w:pPr>
        <w:numPr>
          <w:ilvl w:val="0"/>
          <w:numId w:val="1001"/>
        </w:numPr>
        <w:pStyle w:val="Compact"/>
      </w:pPr>
      <w:hyperlink r:id="rId31">
        <w:r>
          <w:rPr>
            <w:rStyle w:val="Hyperlink"/>
          </w:rPr>
          <w:t xml:space="preserve">Yoshua Bengio 氏 ビデオメッセージ</w:t>
        </w:r>
      </w:hyperlink>
    </w:p>
    <w:p>
      <w:pPr>
        <w:numPr>
          <w:ilvl w:val="0"/>
          <w:numId w:val="1001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@SakanaAILabs</w:t>
        </w:r>
      </w:hyperlink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9" Target="https://www.reddit.com/r/LocalLLM/comments/1v740a9/" TargetMode="External" /><Relationship Type="http://schemas.openxmlformats.org/officeDocument/2006/relationships/hyperlink" Id="rId31" Target="https://www.youtube.com/watch?v=2pgkqsxyTAw" TargetMode="External" /><Relationship Type="http://schemas.openxmlformats.org/officeDocument/2006/relationships/hyperlink" Id="rId24" Target="https://x.com/GaryMarcus/status/2081544257408803191" TargetMode="External" /><Relationship Type="http://schemas.openxmlformats.org/officeDocument/2006/relationships/hyperlink" Id="rId28" Target="https://x.com/SakanaAILabs/status/2081357365526352038" TargetMode="External" /><Relationship Type="http://schemas.openxmlformats.org/officeDocument/2006/relationships/hyperlink" Id="rId32" Target="https://x.com/SakanaAILabs/status/2081565741317595425" TargetMode="External" /><Relationship Type="http://schemas.openxmlformats.org/officeDocument/2006/relationships/hyperlink" Id="rId26" Target="https://x.com/gdb/status/2081409255916359771" TargetMode="External" /><Relationship Type="http://schemas.openxmlformats.org/officeDocument/2006/relationships/hyperlink" Id="rId23" Target="https://x.com/jukan05/status/2081521974006939899" TargetMode="External" /><Relationship Type="http://schemas.openxmlformats.org/officeDocument/2006/relationships/hyperlink" Id="rId30" Target="https://x.com/rasbt/status/2081374704753950742" TargetMode="External" /><Relationship Type="http://schemas.openxmlformats.org/officeDocument/2006/relationships/hyperlink" Id="rId25" Target="https://x.com/sama/status/2081396796174282900" TargetMode="External" /><Relationship Type="http://schemas.openxmlformats.org/officeDocument/2006/relationships/hyperlink" Id="rId27" Target="https://x.com/techdevnotes/status/208140580564413667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s://www.reddit.com/r/LocalLLM/comments/1v740a9/" TargetMode="External" /><Relationship Type="http://schemas.openxmlformats.org/officeDocument/2006/relationships/hyperlink" Id="rId31" Target="https://www.youtube.com/watch?v=2pgkqsxyTAw" TargetMode="External" /><Relationship Type="http://schemas.openxmlformats.org/officeDocument/2006/relationships/hyperlink" Id="rId24" Target="https://x.com/GaryMarcus/status/2081544257408803191" TargetMode="External" /><Relationship Type="http://schemas.openxmlformats.org/officeDocument/2006/relationships/hyperlink" Id="rId28" Target="https://x.com/SakanaAILabs/status/2081357365526352038" TargetMode="External" /><Relationship Type="http://schemas.openxmlformats.org/officeDocument/2006/relationships/hyperlink" Id="rId32" Target="https://x.com/SakanaAILabs/status/2081565741317595425" TargetMode="External" /><Relationship Type="http://schemas.openxmlformats.org/officeDocument/2006/relationships/hyperlink" Id="rId26" Target="https://x.com/gdb/status/2081409255916359771" TargetMode="External" /><Relationship Type="http://schemas.openxmlformats.org/officeDocument/2006/relationships/hyperlink" Id="rId23" Target="https://x.com/jukan05/status/2081521974006939899" TargetMode="External" /><Relationship Type="http://schemas.openxmlformats.org/officeDocument/2006/relationships/hyperlink" Id="rId30" Target="https://x.com/rasbt/status/2081374704753950742" TargetMode="External" /><Relationship Type="http://schemas.openxmlformats.org/officeDocument/2006/relationships/hyperlink" Id="rId25" Target="https://x.com/sama/status/2081396796174282900" TargetMode="External" /><Relationship Type="http://schemas.openxmlformats.org/officeDocument/2006/relationships/hyperlink" Id="rId27" Target="https://x.com/techdevnotes/status/208140580564413667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NVIDIA’s Reported OpenAI Backstop Meets the Shift to Agent Workflows</dc:title>
  <dc:creator>AI News Digest</dc:creator>
  <cp:keywords/>
  <dcterms:created xsi:type="dcterms:W3CDTF">2026-07-27T22:29:55Z</dcterms:created>
  <dcterms:modified xsi:type="dcterms:W3CDTF">2026-07-27T22:29:55Z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2026-07-27</vt:lpwstr>
  </property>
</Properties>
</file>