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Open Models Capture the Volume Layer as Harnesses and Specialized Compute Gain Leverage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2026-08-30</w:t>
      </w:r>
    </w:p>
    <w:bookmarkStart w:id="44" w:name="X80c25a726ccbc33430247100a47f2a15b56b2d6"/>
    <w:p>
      <w:pPr>
        <w:pStyle w:val="Heading1"/>
      </w:pPr>
      <w:r>
        <w:t xml:space="preserve">Open Models Capture the Volume Layer as Harnesses and Specialized Compute Gain Leverage</w:t>
      </w:r>
    </w:p>
    <w:p>
      <w:pPr>
        <w:pStyle w:val="FirstParagraph"/>
      </w:pPr>
      <w:r>
        <w:rPr>
          <w:iCs/>
          <w:i/>
        </w:rPr>
        <w:t xml:space="preserve">By VC Tech Radar • August 30, 2026</w:t>
      </w:r>
    </w:p>
    <w:p>
      <w:pPr>
        <w:pStyle w:val="BodyText"/>
      </w:pPr>
      <w:r>
        <w:t xml:space="preserve">Current evidence points to a split AI stack: fine-tuned open models for routine enterprise work, with value concentrating in verifiable workflows, agent control layers, and heterogeneous chips.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Software M&amp;A is active by count but thin underneath.</w:t>
      </w:r>
      <w:r>
        <w:t xml:space="preserve"> </w:t>
      </w:r>
      <w:r>
        <w:t xml:space="preserve">Kroll’s Summer 2026 update, covering software M&amp;A and public comps through June 30, annualizes 2,672 transactions and $240 billion of announced deal value; SpaceX’s $60 billion Cursor acquisition supplies roughly half, and excluding it brings annualized value closer to $120 billion—one of the lowest totals on record. [1]</w:t>
      </w:r>
    </w:p>
    <w:p>
      <w:pPr>
        <w:pStyle w:val="BodyText"/>
      </w:pPr>
      <w:r>
        <w:rPr>
          <w:bCs/>
          <w:b/>
        </w:rPr>
        <w:t xml:space="preserve">Strategic buyers are supplying the meaningful bid.</w:t>
      </w:r>
      <w:r>
        <w:t xml:space="preserve"> </w:t>
      </w:r>
      <w:r>
        <w:t xml:space="preserve">Strategic acquisitions carried a 6.0x median EV/LTM-revenue multiple versus 3.3x EV/NTM revenue for public B2B software, and strategics represented 74% of software transactions. Kroll attributes that premium to corporates buying AI capability, proprietary data, and workflow position because they cannot build those assets quickly enough internally. [1] For Seed-to-Series-A investors, the exit test is therefore less</w:t>
      </w:r>
      <w:r>
        <w:t xml:space="preserve"> </w:t>
      </w:r>
      <w:r>
        <w:t xml:space="preserve">“</w:t>
      </w:r>
      <w:r>
        <w:t xml:space="preserve">can this scale?</w:t>
      </w:r>
      <w:r>
        <w:t xml:space="preserve">”</w:t>
      </w:r>
      <w:r>
        <w:t xml:space="preserve"> </w:t>
      </w:r>
      <w:r>
        <w:t xml:space="preserve">than</w:t>
      </w:r>
      <w:r>
        <w:t xml:space="preserve"> </w:t>
      </w:r>
      <w:r>
        <w:t xml:space="preserve">“</w:t>
      </w:r>
      <w:r>
        <w:t xml:space="preserve">does this team own a specific capability or workflow a strategic buyer will need?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Scale alone is not earning the premium.</w:t>
      </w:r>
      <w:r>
        <w:t xml:space="preserve"> </w:t>
      </w:r>
      <w:r>
        <w:t xml:space="preserve">Companies below $100 million in revenue ranged from 11.5x to 22.9x on precedent EBITDA multiples, and Kroll says the premium is moving toward smaller companies with specific, defensible positions. [1]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A model-independent verification layer is the strongest early technical-team signal.</w:t>
      </w:r>
      <w:r>
        <w:t xml:space="preserve"> </w:t>
      </w:r>
      <w:r>
        <w:t xml:space="preserve">An early-stage builder is separating claim generation from claim verification for financial use cases: an LLM produces a candidate claim, which is normalized, bound to evidence and assumptions, checked against constraints, subjected to proof or derivation and contradiction analysis, and returned as an auditable outcome. [2] In a reported 66-case benchmark, structured fixtures passed 66/66, while live GPT-5.1-generated claims passed end-to-end only 19/66; the failures were concentrated in pipeline execution, claim binding, and contradiction detection, while the deterministic verification components continued to pass their tests. [2] The assurance-layer thesis fits finance, risk, audit, and compliance, but the benchmark is internal rather than third-party validation and the trust model still needs empirical testing; the team is seeking researchers, engineers, and industry partners. [2]</w:t>
      </w:r>
    </w:p>
    <w:p>
      <w:pPr>
        <w:pStyle w:val="BodyText"/>
      </w:pPr>
      <w:r>
        <w:rPr>
          <w:bCs/>
          <w:b/>
        </w:rPr>
        <w:t xml:space="preserve">Cyborb is pushing AI app builders from code generation toward local execution and deployment.</w:t>
      </w:r>
      <w:r>
        <w:t xml:space="preserve"> </w:t>
      </w:r>
      <w:r>
        <w:t xml:space="preserve">Its desktop agent plans a project, writes and tests code, generates images or audio, and publishes a live site from a plain-language request; it edits the user’s local files, is in beta, and shipped five releases in two days to fix issues encountered by users. [3] The open question is differentiation: feedback places it against Lovable, Bolt, Replit, and v0, with the local workflow and direct publishing interesting but not yet a clear switching reason. [4]</w:t>
      </w:r>
    </w:p>
    <w:p>
      <w:pPr>
        <w:pStyle w:val="BodyText"/>
      </w:pPr>
      <w:r>
        <w:rPr>
          <w:bCs/>
          <w:b/>
        </w:rPr>
        <w:t xml:space="preserve">Huntme AI OSINT is a small but concrete traction signal.</w:t>
      </w:r>
      <w:r>
        <w:t xml:space="preserve"> </w:t>
      </w:r>
      <w:r>
        <w:t xml:space="preserve">Its 18-year-old founder reports approaching 1,000 users and about ₹7.3K in revenue, with the current site built in two hours using 21 Dev and Antigravity. Data aggregation is outsourced to a friend for 20% of revenue; moving to a roughly ₹350/month self-managed server could improve control, but also makes the data pipeline an immediate scaling and relationship-risk diligence point. [5]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Structured agent state is emerging as an alternative to ever-longer histories.</w:t>
      </w:r>
      <w:r>
        <w:t xml:space="preserve"> </w:t>
      </w:r>
      <w:r>
        <w:t xml:space="preserve">Google’s SKILL.state proposal replaces full conversation replay with a structured current-state representation plus the latest observation, keeping input size roughly constant as a session grows. In a 100-step Gemini-3-Flash benchmark, it reported 0.94 accuracy using 65,000 tokens versus 0.91 using 1.1 million tokens for a LangGraph-style baseline—roughly a 94% token reduction. The failure mode is important: if the agent cannot anticipate what it will need later, it may omit that information from state and need to retrieve it again. [6] A useful diligence question is whether systems measure recovery after a bad state write, not just average task accuracy. [7]</w:t>
      </w:r>
    </w:p>
    <w:p>
      <w:pPr>
        <w:pStyle w:val="BodyText"/>
      </w:pPr>
      <w:r>
        <w:rPr>
          <w:bCs/>
          <w:b/>
        </w:rPr>
        <w:t xml:space="preserve">Anthropic’s Model Hardware Standard moves agent infrastructure into the physical world.</w:t>
      </w:r>
      <w:r>
        <w:t xml:space="preserve"> </w:t>
      </w:r>
      <w:r>
        <w:t xml:space="preserve">The research preview is a shared, model-agnostic specification for agents to operate multiple lab and manufacturing instruments in parallel; Anthropic says it can reduce bespoke hardware integration from weeks or months to hours or minutes and support real-time parameter changes and, in some cases, recovery from hardware errors. [8] Its standardized driver exposes read/write primitives, makes devices discoverable, and creates a reference file containing device characteristics, adjustable functions, and enforced safety limits; agents can then sequence and monitor multi-device workflows through MCP, a CLI, or code files. [8] This is still a research preview: Claude’s physical reasoning requires expert oversight, non-programmable hardware is not yet supported, and Anthropic is using the preview to develop additional safety evaluations before open-sourcing the standard. [8]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Open-weight models are becoming the volume layer while fine-tuning closes task-level performance gaps.</w:t>
      </w:r>
      <w:r>
        <w:t xml:space="preserve"> </w:t>
      </w:r>
      <w:r>
        <w:t xml:space="preserve">Exponential View reports that open-weight token share at Vercel reached 62% in a single day, up from 28% two months earlier. It also cites Bridgewater and Thinking Machines fine-tuning an open Qwen model to produce roughly 30% fewer errors than the best closed model on internal information-filtering tasks at one-fourteenth the inference cost; a 27B model can fit on a desktop Mac. [9] This does not erase frontier-model value: service guarantees, harness quality, and reliability still differentiate Anthropic and OpenAI, and open models still generate revenue for inference providers. [9]</w:t>
      </w:r>
    </w:p>
    <w:p>
      <w:pPr>
        <w:pStyle w:val="BodyText"/>
      </w:pPr>
      <w:r>
        <w:rPr>
          <w:bCs/>
          <w:b/>
        </w:rPr>
        <w:t xml:space="preserve">Specialized compute is becoming a parallel market rather than a single Nvidia standard.</w:t>
      </w:r>
      <w:r>
        <w:t xml:space="preserve"> </w:t>
      </w:r>
      <w:r>
        <w:t xml:space="preserve">The same essay reports that OpenAI’s Jalapeño chip used its own models to write kernels, cut roughly 10% from a major compute block, reached tape-out about 16 months after the first hire, and delivered a reported 1.5–1.9x Nvidia’s tokens per megawatt at peak throughput. It argues that differing requirements for latency, power, training, and inference create room for specialist chip firms. [9]</w:t>
      </w:r>
    </w:p>
    <w:p>
      <w:pPr>
        <w:pStyle w:val="BodyText"/>
      </w:pPr>
      <w:r>
        <w:rPr>
          <w:bCs/>
          <w:b/>
        </w:rPr>
        <w:t xml:space="preserve">The current-period follow-on to the Cursor dispute is architectural.</w:t>
      </w:r>
      <w:r>
        <w:t xml:space="preserve"> </w:t>
      </w:r>
      <w:r>
        <w:t xml:space="preserve">OpenAI’s proposed withdrawal of direct model access after Cursor’s SpaceX acquisition made provider dependence visible; Harrison Chase’s response turns it into a design rule: separate the model from the harness and do not get locked in. [10, 11] A contemporaneous developer example reportedly preferred staying with OpenAI models and moving to Codex rather than staying with Cursor and switching models, showing that model preference can directly affect application selection. [12]</w:t>
      </w:r>
    </w:p>
    <w:p>
      <w:pPr>
        <w:pStyle w:val="BodyText"/>
      </w:pPr>
      <w:r>
        <w:rPr>
          <w:bCs/>
          <w:b/>
        </w:rPr>
        <w:t xml:space="preserve">AI infrastructure is also acquiring a labor and siting politics problem.</w:t>
      </w:r>
      <w:r>
        <w:t xml:space="preserve"> </w:t>
      </w:r>
      <w:r>
        <w:t xml:space="preserve">A monitored post reports $50 billion of data-center construction this year, with construction unions partnering with OpenAI and Microsoft while nurses, flight attendants, and a university faculty union support moratorium efforts. It argues that construction unions’ roughly 11% membership, versus under 6% elsewhere in private-sector work, gives them leverage in local siting votes. Treat this as a directional social-license signal, but it belongs in infrastructure underwriting alongside power and permitting. [13]</w:t>
      </w:r>
    </w:p>
    <w:bookmarkEnd w:id="23"/>
    <w:bookmarkStart w:id="43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20VC: Should American Enterprises Work With Open-Source Chinese Models? | Only 10% of Neo-labs survive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Use the sections on outcome-based pricing and verifiability, then the discussion of stateful harnesses, open-model specialization, and why most generic neolabs may not remain independent businesses. [14]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Should American Enterprises Work With Open-Source Chinese Models? | Only 10% of Neo-labs survive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h9VNB9TA2Hk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Should American Enterprises Work With Open-Source Chinese Models? | Only 10% of Neo-labs survive (29:31)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29">
        <w:r>
          <w:rPr>
            <w:rStyle w:val="Hyperlink"/>
            <w:bCs/>
            <w:b/>
          </w:rPr>
          <w:t xml:space="preserve">🔮 Unbounded self-improvement and its limits #599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essay provides the clearest current pairing of enterprise open-model adoption, fine-tuning economics, and specialist-chip opportunity. [9]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30">
        <w:r>
          <w:rPr>
            <w:rStyle w:val="Hyperlink"/>
            <w:bCs/>
            <w:b/>
          </w:rPr>
          <w:t xml:space="preserve">Anthropic’s Model Hardware Standard research preview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useful material is the standardized device driver, machine-readable safety limits, and the gap between autonomous orchestration and the expert oversight still required in physical environments. [8]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Thread —</w:t>
      </w:r>
      <w:r>
        <w:rPr>
          <w:bCs/>
          <w:b/>
        </w:rPr>
        <w:t xml:space="preserve"> </w:t>
      </w:r>
      <w:hyperlink r:id="rId31">
        <w:r>
          <w:rPr>
            <w:rStyle w:val="Hyperlink"/>
            <w:bCs/>
            <w:b/>
          </w:rPr>
          <w:t xml:space="preserve">Harrison Chase on separating model and harness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A concise framing of why portability is becoming an application-architecture requirement as model providers compete with the products built on top of them. [11]</w:t>
      </w:r>
    </w:p>
    <w:p>
      <w:r>
        <w:pict>
          <v:rect style="width:0;height:1.5pt" o:hralign="center" o:hrstd="t" o:hr="t"/>
        </w:pict>
      </w:r>
    </w:p>
    <w:bookmarkStart w:id="42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Rule of 40 Is Half Dead: Growth Is All That Matters, Margins Above 25% Don’t Help, and Category Beats Both. The Latest From Kroll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r/artificial post by u/MuhammadMujtaba21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r/SideProject post by u/Aware-Ad-8083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r/SideProject comment by u/noobiethe13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r/SaaS post by u/bugwrite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r/artificial post by u/hakansan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r/artificial comment by u/manishiitg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Previewing the Model Hardware Standard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🔮 Unbounded self-improvement and its limits #599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@hwchase17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@alliekmiller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r/artificial post by u/Servola-Journal</w:t>
        </w:r>
      </w:hyperlink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Should American Enterprises Work With Open-Source Chinese Models? | Only 10% of Neo-labs survive</w:t>
        </w:r>
      </w:hyperlink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hyperlink" Id="rId30" Target="https://www.anthropic.com/news/model-hardware-standard-research-preview" TargetMode="External" /><Relationship Type="http://schemas.openxmlformats.org/officeDocument/2006/relationships/hyperlink" Id="rId29" Target="https://www.exponentialview.co/p/ev-599" TargetMode="External" /><Relationship Type="http://schemas.openxmlformats.org/officeDocument/2006/relationships/hyperlink" Id="rId36" Target="https://www.reddit.com/r/SaaS/comments/1w1yihe/" TargetMode="External" /><Relationship Type="http://schemas.openxmlformats.org/officeDocument/2006/relationships/hyperlink" Id="rId34" Target="https://www.reddit.com/r/SideProject/comments/1w28t42/" TargetMode="External" /><Relationship Type="http://schemas.openxmlformats.org/officeDocument/2006/relationships/hyperlink" Id="rId35" Target="https://www.reddit.com/r/SideProject/comments/1w28t42/comment/p6qsabc/" TargetMode="External" /><Relationship Type="http://schemas.openxmlformats.org/officeDocument/2006/relationships/hyperlink" Id="rId33" Target="https://www.reddit.com/r/artificial/comments/1w1gnii/" TargetMode="External" /><Relationship Type="http://schemas.openxmlformats.org/officeDocument/2006/relationships/hyperlink" Id="rId37" Target="https://www.reddit.com/r/artificial/comments/1w1ynrf/" TargetMode="External" /><Relationship Type="http://schemas.openxmlformats.org/officeDocument/2006/relationships/hyperlink" Id="rId38" Target="https://www.reddit.com/r/artificial/comments/1w1ynrf/comment/p6otn90/" TargetMode="External" /><Relationship Type="http://schemas.openxmlformats.org/officeDocument/2006/relationships/hyperlink" Id="rId41" Target="https://www.reddit.com/r/artificial/comments/1w28hwh/" TargetMode="External" /><Relationship Type="http://schemas.openxmlformats.org/officeDocument/2006/relationships/hyperlink" Id="rId32" Target="https://www.saastr.com/rule-of-40-is-half-dead-growth-is-all-that-matters-margins-above-25-dont-help-and-category-beats-both-the-latest-from-kroll" TargetMode="External" /><Relationship Type="http://schemas.openxmlformats.org/officeDocument/2006/relationships/hyperlink" Id="rId24" Target="https://www.youtube.com/watch?v=h9VNB9TA2Hk" TargetMode="External" /><Relationship Type="http://schemas.openxmlformats.org/officeDocument/2006/relationships/hyperlink" Id="rId39" Target="https://x.com/OpenAI/status/2093515564786540695" TargetMode="External" /><Relationship Type="http://schemas.openxmlformats.org/officeDocument/2006/relationships/hyperlink" Id="rId40" Target="https://x.com/alliekmiller/status/2093684416748929368" TargetMode="External" /><Relationship Type="http://schemas.openxmlformats.org/officeDocument/2006/relationships/hyperlink" Id="rId31" Target="https://x.com/hwchase17/status/2093823406873756060" TargetMode="External" /><Relationship Type="http://schemas.openxmlformats.org/officeDocument/2006/relationships/hyperlink" Id="rId28" Target="https://youtube.com/watch?v=h9VNB9TA2Hk&amp;t=17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www.anthropic.com/news/model-hardware-standard-research-preview" TargetMode="External" /><Relationship Type="http://schemas.openxmlformats.org/officeDocument/2006/relationships/hyperlink" Id="rId29" Target="https://www.exponentialview.co/p/ev-599" TargetMode="External" /><Relationship Type="http://schemas.openxmlformats.org/officeDocument/2006/relationships/hyperlink" Id="rId36" Target="https://www.reddit.com/r/SaaS/comments/1w1yihe/" TargetMode="External" /><Relationship Type="http://schemas.openxmlformats.org/officeDocument/2006/relationships/hyperlink" Id="rId34" Target="https://www.reddit.com/r/SideProject/comments/1w28t42/" TargetMode="External" /><Relationship Type="http://schemas.openxmlformats.org/officeDocument/2006/relationships/hyperlink" Id="rId35" Target="https://www.reddit.com/r/SideProject/comments/1w28t42/comment/p6qsabc/" TargetMode="External" /><Relationship Type="http://schemas.openxmlformats.org/officeDocument/2006/relationships/hyperlink" Id="rId33" Target="https://www.reddit.com/r/artificial/comments/1w1gnii/" TargetMode="External" /><Relationship Type="http://schemas.openxmlformats.org/officeDocument/2006/relationships/hyperlink" Id="rId37" Target="https://www.reddit.com/r/artificial/comments/1w1ynrf/" TargetMode="External" /><Relationship Type="http://schemas.openxmlformats.org/officeDocument/2006/relationships/hyperlink" Id="rId38" Target="https://www.reddit.com/r/artificial/comments/1w1ynrf/comment/p6otn90/" TargetMode="External" /><Relationship Type="http://schemas.openxmlformats.org/officeDocument/2006/relationships/hyperlink" Id="rId41" Target="https://www.reddit.com/r/artificial/comments/1w28hwh/" TargetMode="External" /><Relationship Type="http://schemas.openxmlformats.org/officeDocument/2006/relationships/hyperlink" Id="rId32" Target="https://www.saastr.com/rule-of-40-is-half-dead-growth-is-all-that-matters-margins-above-25-dont-help-and-category-beats-both-the-latest-from-kroll" TargetMode="External" /><Relationship Type="http://schemas.openxmlformats.org/officeDocument/2006/relationships/hyperlink" Id="rId24" Target="https://www.youtube.com/watch?v=h9VNB9TA2Hk" TargetMode="External" /><Relationship Type="http://schemas.openxmlformats.org/officeDocument/2006/relationships/hyperlink" Id="rId39" Target="https://x.com/OpenAI/status/2093515564786540695" TargetMode="External" /><Relationship Type="http://schemas.openxmlformats.org/officeDocument/2006/relationships/hyperlink" Id="rId40" Target="https://x.com/alliekmiller/status/2093684416748929368" TargetMode="External" /><Relationship Type="http://schemas.openxmlformats.org/officeDocument/2006/relationships/hyperlink" Id="rId31" Target="https://x.com/hwchase17/status/2093823406873756060" TargetMode="External" /><Relationship Type="http://schemas.openxmlformats.org/officeDocument/2006/relationships/hyperlink" Id="rId28" Target="https://youtube.com/watch?v=h9VNB9TA2Hk&amp;t=17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Models Capture the Volume Layer as Harnesses and Specialized Compute Gain Leverage</dc:title>
  <dc:creator>VC Tech Radar</dc:creator>
  <cp:keywords/>
  <dcterms:created xsi:type="dcterms:W3CDTF">2026-08-31T05:23:35Z</dcterms:created>
  <dcterms:modified xsi:type="dcterms:W3CDTF">2026-08-31T05:23:35Z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2026-08-30</vt:lpwstr>
  </property>
</Properties>
</file>