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5.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Open Models Multiply as Inference Capacity Tightens</w:t>
      </w:r>
    </w:p>
    <w:p>
      <w:pPr>
        <w:pStyle w:val="Author"/>
      </w:pPr>
      <w:r>
        <w:t xml:space="preserve">VC Tech Radar</w:t>
      </w:r>
    </w:p>
    <w:p>
      <w:pPr>
        <w:pStyle w:val="Date"/>
      </w:pPr>
      <w:r>
        <w:t xml:space="preserve">2026-08-03</w:t>
      </w:r>
    </w:p>
    <w:bookmarkStart w:id="46" w:name="X584f17b3107883bb3cd16ea41d2d26b51df237c"/>
    <w:p>
      <w:pPr>
        <w:pStyle w:val="Heading1"/>
      </w:pPr>
      <w:r>
        <w:t xml:space="preserve">Open Models Multiply as Inference Capacity Tightens</w:t>
      </w:r>
    </w:p>
    <w:p>
      <w:pPr>
        <w:pStyle w:val="FirstParagraph"/>
      </w:pPr>
      <w:r>
        <w:rPr>
          <w:iCs/>
          <w:i/>
        </w:rPr>
        <w:t xml:space="preserve">By VC Tech Radar • August 3, 2026</w:t>
      </w:r>
    </w:p>
    <w:p>
      <w:pPr>
        <w:pStyle w:val="BodyText"/>
      </w:pPr>
      <w:r>
        <w:t xml:space="preserve">Qwen3.8-Max and a broad wave of open releases are widening model supply just as B200 scarcity pushes inference costs higher. In parallel, agent deployment is exposing a control-plane gap around permissions, state, recovery, and founder understanding.</w:t>
      </w:r>
    </w:p>
    <w:bookmarkStart w:id="20" w:name="funding-deals"/>
    <w:p>
      <w:pPr>
        <w:pStyle w:val="Heading2"/>
      </w:pPr>
      <w:r>
        <w:t xml:space="preserve">1. Funding &amp; Deals</w:t>
      </w:r>
    </w:p>
    <w:p>
      <w:pPr>
        <w:pStyle w:val="FirstParagraph"/>
      </w:pPr>
      <w:r>
        <w:rPr>
          <w:bCs/>
          <w:b/>
        </w:rPr>
        <w:t xml:space="preserve">The visible period is more useful as a capital-underwriting signal than as a new-round signal.</w:t>
      </w:r>
      <w:r>
        <w:t xml:space="preserve"> </w:t>
      </w:r>
      <w:r>
        <w:t xml:space="preserve">Suhail says he checked 13 providers for a single NVIDIA B200/B200s node and found zero availability; he expects GPU prices to reach $6.50–7 per GPU-hour and inference to become more expensive. [1] For model and inference startups, capacity access and cost pass-through now belong in the financing conversation alongside benchmark quality.</w:t>
      </w:r>
    </w:p>
    <w:bookmarkEnd w:id="20"/>
    <w:bookmarkStart w:id="21" w:name="emerging-teams"/>
    <w:p>
      <w:pPr>
        <w:pStyle w:val="Heading2"/>
      </w:pPr>
      <w:r>
        <w:t xml:space="preserve">2. Emerging Teams</w:t>
      </w:r>
    </w:p>
    <w:p>
      <w:pPr>
        <w:pStyle w:val="FirstParagraph"/>
      </w:pPr>
      <w:r>
        <w:rPr>
          <w:bCs/>
          <w:b/>
        </w:rPr>
        <w:t xml:space="preserve">Hermes Project Autopilot is a technically specific early-stage wedge in agent reliability.</w:t>
      </w:r>
      <w:r>
        <w:t xml:space="preserve"> </w:t>
      </w:r>
      <w:r>
        <w:t xml:space="preserve">Its builder packages autonomous repository work into a durable mission contract with exact verification commands, autonomy levels, clean-repository and path/network gates, isolated worktrees, controller/planner/executor/verifier roles, checkpoints, a hash-chained evidence ledger, and approval before commits. The verifier is read-only, and v1 does not push, merge, deploy, or restart services. [2] The project reports 18/18 deterministic safety scenarios passed, zero safety escapes, 135 focused integration tests, exact replay of the delivered Git tree, and a repository containing the patch series, provenance manifests, security documentation, and CI. [2] The important next test is whether the evidence model generalizes: the builder defines</w:t>
      </w:r>
      <w:r>
        <w:t xml:space="preserve"> </w:t>
      </w:r>
      <w:r>
        <w:t xml:space="preserve">“</w:t>
      </w:r>
      <w:r>
        <w:t xml:space="preserve">false success</w:t>
      </w:r>
      <w:r>
        <w:t xml:space="preserve">”</w:t>
      </w:r>
      <w:r>
        <w:t xml:space="preserve"> </w:t>
      </w:r>
      <w:r>
        <w:t xml:space="preserve">as a worker claiming completion while checks failed, evidence is missing or stale, or the final repository state does not match the contract, and plans to publish seeded cases and raw results. [3]</w:t>
      </w:r>
    </w:p>
    <w:p>
      <w:pPr>
        <w:pStyle w:val="BodyText"/>
      </w:pPr>
      <w:r>
        <w:rPr>
          <w:bCs/>
          <w:b/>
        </w:rPr>
        <w:t xml:space="preserve">Adima AI shows a smaller but concrete privacy-first distribution signal.</w:t>
      </w:r>
      <w:r>
        <w:t xml:space="preserve"> </w:t>
      </w:r>
      <w:r>
        <w:t xml:space="preserve">An independent developer says the local image restorer/upscaler has reached 30,000+ Android installs and 2,500+ Windows installs after two years of development. [4] Its v1.2.0 Face Boost update came from repeated user requests and adds batch face restoration, 4×–16× upscaling, and fully local processing with no cloud upload. [4] It is not a financing milestone, but it is evidence that a narrow on-device utility can accumulate usage while avoiding subscription and privacy objections attached to cloud alternatives.</w:t>
      </w:r>
    </w:p>
    <w:bookmarkEnd w:id="21"/>
    <w:bookmarkStart w:id="22" w:name="ai-tech-breakthroughs"/>
    <w:p>
      <w:pPr>
        <w:pStyle w:val="Heading2"/>
      </w:pPr>
      <w:r>
        <w:t xml:space="preserve">3. AI &amp; Tech Breakthroughs</w:t>
      </w:r>
    </w:p>
    <w:p>
      <w:pPr>
        <w:pStyle w:val="FirstParagraph"/>
      </w:pPr>
      <w:r>
        <w:rPr>
          <w:bCs/>
          <w:b/>
        </w:rPr>
        <w:t xml:space="preserve">The open-model ecosystem is broadening rather than consolidating.</w:t>
      </w:r>
      <w:r>
        <w:t xml:space="preserve"> </w:t>
      </w:r>
      <w:r>
        <w:t xml:space="preserve">Interconnects’ current roundup says more organizations are still investing hundreds of millions to billions in training while releasing models openly, and argues that rising token demand is making</w:t>
      </w:r>
      <w:r>
        <w:t xml:space="preserve"> </w:t>
      </w:r>
      <w:r>
        <w:t xml:space="preserve">“</w:t>
      </w:r>
      <w:r>
        <w:t xml:space="preserve">token machines</w:t>
      </w:r>
      <w:r>
        <w:t xml:space="preserve">”</w:t>
      </w:r>
      <w:r>
        <w:t xml:space="preserve"> </w:t>
      </w:r>
      <w:r>
        <w:t xml:space="preserve">an attractive path to value. [5] The release set spans Thinking Machines’ 975B-A41B multimodal Inkling and smaller fine-tuning-oriented version, Poolside’s 118B-A8B Laguna-S-2.1 that fits on a DGX Spark with published evaluation trajectories, and Korean startup Motif’s 314B-A13B preview with GDLA and mHC architectural changes. [5] The commercial question is shifting from</w:t>
      </w:r>
      <w:r>
        <w:t xml:space="preserve"> </w:t>
      </w:r>
      <w:r>
        <w:t xml:space="preserve">“</w:t>
      </w:r>
      <w:r>
        <w:t xml:space="preserve">who has the one winning model?</w:t>
      </w:r>
      <w:r>
        <w:t xml:space="preserve">”</w:t>
      </w:r>
      <w:r>
        <w:t xml:space="preserve"> </w:t>
      </w:r>
      <w:r>
        <w:t xml:space="preserve">to who captures value through licensing, fine-tuning, serving, and distribution. Licensing is part of that competition: Kimi K3’s noncommercial license requires inference and fine-tuning providers to sign commercial agreements, which the roundup says could create future policy exposure for U.S. companies. [5]</w:t>
      </w:r>
    </w:p>
    <w:p>
      <w:pPr>
        <w:pStyle w:val="BodyText"/>
      </w:pPr>
      <w:r>
        <w:rPr>
          <w:bCs/>
          <w:b/>
        </w:rPr>
        <w:t xml:space="preserve">Qwen3.8-Max is the period’s sharpest new open-model claim.</w:t>
      </w:r>
      <w:r>
        <w:t xml:space="preserve"> </w:t>
      </w:r>
      <w:r>
        <w:t xml:space="preserve">Alibaba’s Qwen account introduced it as</w:t>
      </w:r>
      <w:r>
        <w:t xml:space="preserve"> </w:t>
      </w:r>
      <w:r>
        <w:t xml:space="preserve">“</w:t>
      </w:r>
      <w:r>
        <w:t xml:space="preserve">a new bar for coding and cowork.</w:t>
      </w:r>
      <w:r>
        <w:t xml:space="preserve">”</w:t>
      </w:r>
      <w:r>
        <w:t xml:space="preserve"> </w:t>
      </w:r>
      <w:r>
        <w:t xml:space="preserve">[6] Bindu Reddy says the model will be open-sourced this week, describes it as a 2.4T-parameter model</w:t>
      </w:r>
      <w:r>
        <w:t xml:space="preserve"> </w:t>
      </w:r>
      <w:r>
        <w:t xml:space="preserve">“</w:t>
      </w:r>
      <w:r>
        <w:t xml:space="preserve">almost certainly Sonnet class or better,</w:t>
      </w:r>
      <w:r>
        <w:t xml:space="preserve">”</w:t>
      </w:r>
      <w:r>
        <w:t xml:space="preserve"> </w:t>
      </w:r>
      <w:r>
        <w:t xml:space="preserve">and lists pricing of $2 per million input tokens, $6 per million output tokens, and $0.25 per million cached tokens. [7] The pricing is directly stated in her post; the capability comparison remains an attributed claim until independent evaluations arrive.</w:t>
      </w:r>
    </w:p>
    <w:p>
      <w:pPr>
        <w:pStyle w:val="BodyText"/>
      </w:pPr>
      <w:r>
        <w:rPr>
          <w:bCs/>
          <w:b/>
        </w:rPr>
        <w:t xml:space="preserve">Embodied-control research is moving beyond pure motion imitation.</w:t>
      </w:r>
      <w:r>
        <w:t xml:space="preserve"> </w:t>
      </w:r>
      <w:r>
        <w:t xml:space="preserve">A Two Minute Papers transcript describes a controller trained in parallel to imitate human movement and solve new obstacle courses, using only 19 clips totaling about 30 seconds of parkour data; a learned judge scores whether generated movement looks both human and appropriate to the obstacle. [8] The system is shown handling unseen obstacle arrangements, but the caveats are material: longer levels have only about 40% success, and unnatural recovery motions remain possible. [8]</w:t>
      </w:r>
    </w:p>
    <w:bookmarkEnd w:id="22"/>
    <w:bookmarkStart w:id="23" w:name="market-signals"/>
    <w:p>
      <w:pPr>
        <w:pStyle w:val="Heading2"/>
      </w:pPr>
      <w:r>
        <w:t xml:space="preserve">4. Market Signals</w:t>
      </w:r>
    </w:p>
    <w:p>
      <w:pPr>
        <w:pStyle w:val="FirstParagraph"/>
      </w:pPr>
      <w:r>
        <w:rPr>
          <w:bCs/>
          <w:b/>
        </w:rPr>
        <w:t xml:space="preserve">Inference, not training, is becoming the center of infrastructure underwriting.</w:t>
      </w:r>
      <w:r>
        <w:t xml:space="preserve"> </w:t>
      </w:r>
      <w:r>
        <w:t xml:space="preserve">An Investing in AI analysis projects inference to account for roughly 80% of the neocloud market by 2030 and distinguishes it from training as recurring operating expense optimized continuously for cost and latency. It argues that neoclouds currently win on scarcity and deployment speed but must move up into managed inference, orchestration, fine-tuning, routing, or other software layers before scarcity fades. [9] The same analysis identifies power and interconnects as binding constraints and tells investors to examine software/managed-services revenue, customer concentration, and whether contracted power outlasts hardware depreciation—not just GPU count. [9]</w:t>
      </w:r>
    </w:p>
    <w:p>
      <w:pPr>
        <w:pStyle w:val="BodyText"/>
      </w:pPr>
      <w:r>
        <w:rPr>
          <w:bCs/>
          <w:b/>
        </w:rPr>
        <w:t xml:space="preserve">Safe agent workflows are an infrastructure problem, not an MCP or prompting problem.</w:t>
      </w:r>
      <w:r>
        <w:t xml:space="preserve"> </w:t>
      </w:r>
      <w:r>
        <w:t xml:space="preserve">A practitioner distinguishes an MCP interface—which lets an agent call product actions—from the control layer that must understand current state, enforce permissions and preconditions, pause for approval, and recover from partial failure. [10] The proposed controls are concrete: re-check state immediately before a write, enforce permissions below the agent, implement real suspend/resume for approvals, and use an intent key that survives retries so a failed action cannot double-charge or double-send. [11] Most SaaS APIs, the thread argues, return success/failure rather than current state and valid next actions; agent-ready products need state endpoints, permission-aware action manifests, explicit approval hooks, and idempotency keys. [12]</w:t>
      </w:r>
    </w:p>
    <w:p>
      <w:pPr>
        <w:pStyle w:val="BodyText"/>
      </w:pPr>
      <w:r>
        <w:rPr>
          <w:bCs/>
          <w:b/>
        </w:rPr>
        <w:t xml:space="preserve">Vibe-coded SaaS is creating an</w:t>
      </w:r>
      <w:r>
        <w:rPr>
          <w:bCs/>
          <w:b/>
        </w:rPr>
        <w:t xml:space="preserve"> </w:t>
      </w:r>
      <w:r>
        <w:rPr>
          <w:bCs/>
          <w:b/>
        </w:rPr>
        <w:t xml:space="preserve">“</w:t>
      </w:r>
      <w:r>
        <w:rPr>
          <w:bCs/>
          <w:b/>
        </w:rPr>
        <w:t xml:space="preserve">understanding debt</w:t>
      </w:r>
      <w:r>
        <w:rPr>
          <w:bCs/>
          <w:b/>
        </w:rPr>
        <w:t xml:space="preserve">”</w:t>
      </w:r>
      <w:r>
        <w:rPr>
          <w:bCs/>
          <w:b/>
        </w:rPr>
        <w:t xml:space="preserve"> </w:t>
      </w:r>
      <w:r>
        <w:rPr>
          <w:bCs/>
          <w:b/>
        </w:rPr>
        <w:t xml:space="preserve">diligence flag.</w:t>
      </w:r>
      <w:r>
        <w:t xml:space="preserve"> </w:t>
      </w:r>
      <w:r>
        <w:t xml:space="preserve">An AI consultancy says a growing share of its work is rescuing products that already have paying customers; one booking product was polished and had about 80 customers, yet its founder could not explain what happened to an unused plan after a mid-month cancellation. The post argues that polished interfaces now hide unmade decisions around payments, refunds, and edge cases. [13] Its practical test is useful in diligence: ask a founder to answer the five hardest questions about product behavior without opening the app; unanswered questions identify parts of the business the founder does not yet own. [13]</w:t>
      </w:r>
    </w:p>
    <w:p>
      <w:pPr>
        <w:pStyle w:val="BodyText"/>
      </w:pPr>
      <w:r>
        <w:rPr>
          <w:bCs/>
          <w:b/>
        </w:rPr>
        <w:t xml:space="preserve">Regulatory watch:</w:t>
      </w:r>
      <w:r>
        <w:t xml:space="preserve"> </w:t>
      </w:r>
      <w:r>
        <w:t xml:space="preserve">A current-period community post says Article 50 of the EU AI Act took effect on August 2 and quotes a disclosure requirement for AI-generated text published to inform the public, with an exception for human review and editorial responsibility. It points to alleged hallucinated consulting reports from PwC and Deloitte and frames potential fines as a live consequence. [14] Treat this as a verification item against official EU guidance before making compliance or investment decisions.</w:t>
      </w:r>
    </w:p>
    <w:bookmarkEnd w:id="23"/>
    <w:bookmarkStart w:id="45" w:name="worth-your-time"/>
    <w:p>
      <w:pPr>
        <w:pStyle w:val="Heading2"/>
      </w:pPr>
      <w:r>
        <w:t xml:space="preserve">5. Worth Your Time</w:t>
      </w:r>
    </w:p>
    <w:p>
      <w:pPr>
        <w:numPr>
          <w:ilvl w:val="0"/>
          <w:numId w:val="1001"/>
        </w:numPr>
      </w:pPr>
      <w:r>
        <w:rPr>
          <w:bCs/>
          <w:b/>
        </w:rPr>
        <w:t xml:space="preserve">Watch</w:t>
      </w:r>
      <w:r>
        <w:rPr>
          <w:bCs/>
          <w:b/>
        </w:rPr>
        <w:t xml:space="preserve"> </w:t>
      </w:r>
      <w:hyperlink r:id="rId24">
        <w:r>
          <w:rPr>
            <w:rStyle w:val="Hyperlink"/>
            <w:iCs/>
            <w:i/>
            <w:bCs/>
            <w:b/>
          </w:rPr>
          <w:t xml:space="preserve">NVIDIA’s AI Learns Why Copying Humans Isn’t Enough</w:t>
        </w:r>
      </w:hyperlink>
      <w:r>
        <w:rPr>
          <w:bCs/>
          <w:b/>
        </w:rPr>
        <w:t xml:space="preserve">.</w:t>
      </w:r>
      <w:r>
        <w:t xml:space="preserve"> </w:t>
      </w:r>
      <w:r>
        <w:t xml:space="preserve">The useful part is that the demonstration and the failure modes sit together: 19 clips provide the imitation signal, while the second training</w:t>
      </w:r>
      <w:r>
        <w:t xml:space="preserve"> </w:t>
      </w:r>
      <w:r>
        <w:t xml:space="preserve">“</w:t>
      </w:r>
      <w:r>
        <w:t xml:space="preserve">classroom</w:t>
      </w:r>
      <w:r>
        <w:t xml:space="preserve">”</w:t>
      </w:r>
      <w:r>
        <w:t xml:space="preserve"> </w:t>
      </w:r>
      <w:r>
        <w:t xml:space="preserve">teaches adaptation to new obstacles; the transcript also reports only about 40% success on longer levels. [8]</w:t>
      </w:r>
      <w:r>
        <w:t xml:space="preserve"> </w:t>
      </w:r>
      <w:hyperlink r:id="rId28">
        <w:r>
          <w:drawing>
            <wp:inline>
              <wp:extent cx="5334000" cy="4000500"/>
              <wp:effectExtent b="0" l="0" r="0" t="0"/>
              <wp:docPr descr="NVIDIA’s AI Learns Why Copying Humans Isn’t Enough" title="" id="26" name="Picture"/>
              <a:graphic>
                <a:graphicData uri="http://schemas.openxmlformats.org/drawingml/2006/picture">
                  <pic:pic>
                    <pic:nvPicPr>
                      <pic:cNvPr descr="https://img.youtube.com/vi/8B05cy3UuSE/hqdefault.jpg" id="27" name="Picture"/>
                      <pic:cNvPicPr>
                        <a:picLocks noChangeArrowheads="1" noChangeAspect="1"/>
                      </pic:cNvPicPr>
                    </pic:nvPicPr>
                    <pic:blipFill>
                      <a:blip r:embed="rId25"/>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NVIDIA’s AI Learns Why Copying Humans Isn’t Enough (2:56)</w:t>
      </w:r>
    </w:p>
    <w:p>
      <w:pPr>
        <w:numPr>
          <w:ilvl w:val="0"/>
          <w:numId w:val="1001"/>
        </w:numPr>
      </w:pPr>
      <w:r>
        <w:rPr>
          <w:bCs/>
          <w:b/>
        </w:rPr>
        <w:t xml:space="preserve">Read</w:t>
      </w:r>
      <w:r>
        <w:rPr>
          <w:bCs/>
          <w:b/>
        </w:rPr>
        <w:t xml:space="preserve"> </w:t>
      </w:r>
      <w:hyperlink r:id="rId29">
        <w:r>
          <w:rPr>
            <w:rStyle w:val="Hyperlink"/>
            <w:bCs/>
            <w:b/>
          </w:rPr>
          <w:t xml:space="preserve">Interconnects’ latest open-artifacts roundup</w:t>
        </w:r>
      </w:hyperlink>
      <w:r>
        <w:rPr>
          <w:bCs/>
          <w:b/>
        </w:rPr>
        <w:t xml:space="preserve">.</w:t>
      </w:r>
      <w:r>
        <w:t xml:space="preserve"> </w:t>
      </w:r>
      <w:r>
        <w:t xml:space="preserve">It is a compact map of the current release wave, including model scale, licenses, hardware requirements, and evaluation transparency. [5]</w:t>
      </w:r>
    </w:p>
    <w:p>
      <w:pPr>
        <w:numPr>
          <w:ilvl w:val="0"/>
          <w:numId w:val="1001"/>
        </w:numPr>
      </w:pPr>
      <w:r>
        <w:rPr>
          <w:bCs/>
          <w:b/>
        </w:rPr>
        <w:t xml:space="preserve">Inspect the</w:t>
      </w:r>
      <w:r>
        <w:rPr>
          <w:bCs/>
          <w:b/>
        </w:rPr>
        <w:t xml:space="preserve"> </w:t>
      </w:r>
      <w:hyperlink r:id="rId30">
        <w:r>
          <w:rPr>
            <w:rStyle w:val="Hyperlink"/>
            <w:bCs/>
            <w:b/>
          </w:rPr>
          <w:t xml:space="preserve">Hermes Project Autopilot repository</w:t>
        </w:r>
      </w:hyperlink>
      <w:r>
        <w:rPr>
          <w:bCs/>
          <w:b/>
        </w:rPr>
        <w:t xml:space="preserve">.</w:t>
      </w:r>
      <w:r>
        <w:t xml:space="preserve"> </w:t>
      </w:r>
      <w:r>
        <w:t xml:space="preserve">The interesting artifact is not another coding demo but the explicit contract, verifier, provenance, and rollback design for autonomous repository changes. [2]</w:t>
      </w:r>
    </w:p>
    <w:p>
      <w:pPr>
        <w:numPr>
          <w:ilvl w:val="0"/>
          <w:numId w:val="1001"/>
        </w:numPr>
      </w:pPr>
      <w:r>
        <w:rPr>
          <w:bCs/>
          <w:b/>
        </w:rPr>
        <w:t xml:space="preserve">Read Jason’s</w:t>
      </w:r>
      <w:r>
        <w:rPr>
          <w:bCs/>
          <w:b/>
        </w:rPr>
        <w:t xml:space="preserve"> </w:t>
      </w:r>
      <w:hyperlink r:id="rId31">
        <w:r>
          <w:rPr>
            <w:rStyle w:val="Hyperlink"/>
            <w:bCs/>
            <w:b/>
          </w:rPr>
          <w:t xml:space="preserve">agent-permission post</w:t>
        </w:r>
      </w:hyperlink>
      <w:r>
        <w:rPr>
          <w:bCs/>
          <w:b/>
        </w:rPr>
        <w:t xml:space="preserve">.</w:t>
      </w:r>
      <w:r>
        <w:t xml:space="preserve"> </w:t>
      </w:r>
      <w:r>
        <w:t xml:space="preserve">A Google Drive connector silently granted read access across company files and write access to a Replit repository; the proposed operational rule is to inventory integrations like API keys and maintain logs that can answer what agents changed. [15]</w:t>
      </w:r>
    </w:p>
    <w:p>
      <w:r>
        <w:pict>
          <v:rect style="width:0;height:1.5pt" o:hralign="center" o:hrstd="t" o:hr="t"/>
        </w:pict>
      </w:r>
    </w:p>
    <w:bookmarkStart w:id="44" w:name="sources"/>
    <w:p>
      <w:pPr>
        <w:pStyle w:val="Heading3"/>
      </w:pPr>
      <w:r>
        <w:t xml:space="preserve">Sources</w:t>
      </w:r>
    </w:p>
    <w:p>
      <w:pPr>
        <w:numPr>
          <w:ilvl w:val="0"/>
          <w:numId w:val="1002"/>
        </w:numPr>
        <w:pStyle w:val="Compact"/>
      </w:pPr>
      <w:hyperlink r:id="rId32">
        <w:r>
          <w:rPr>
            <w:rStyle w:val="Hyperlink"/>
          </w:rPr>
          <w:t xml:space="preserve">𝕏 post by</w:t>
        </w:r>
        <w:r>
          <w:rPr>
            <w:rStyle w:val="Hyperlink"/>
          </w:rPr>
          <w:t xml:space="preserve"> </w:t>
        </w:r>
        <w:r>
          <w:rPr>
            <w:rStyle w:val="Hyperlink"/>
          </w:rPr>
          <w:t xml:space="preserve">@Suhail</w:t>
        </w:r>
      </w:hyperlink>
    </w:p>
    <w:p>
      <w:pPr>
        <w:numPr>
          <w:ilvl w:val="0"/>
          <w:numId w:val="1002"/>
        </w:numPr>
        <w:pStyle w:val="Compact"/>
      </w:pPr>
      <w:hyperlink r:id="rId33">
        <w:r>
          <w:rPr>
            <w:rStyle w:val="Hyperlink"/>
          </w:rPr>
          <w:t xml:space="preserve">r/SideProject post by u/ProfessionalRabbit76</w:t>
        </w:r>
      </w:hyperlink>
    </w:p>
    <w:p>
      <w:pPr>
        <w:numPr>
          <w:ilvl w:val="0"/>
          <w:numId w:val="1002"/>
        </w:numPr>
        <w:pStyle w:val="Compact"/>
      </w:pPr>
      <w:hyperlink r:id="rId34">
        <w:r>
          <w:rPr>
            <w:rStyle w:val="Hyperlink"/>
          </w:rPr>
          <w:t xml:space="preserve">r/SideProject comment by u/ProfessionalRabbit76</w:t>
        </w:r>
      </w:hyperlink>
    </w:p>
    <w:p>
      <w:pPr>
        <w:numPr>
          <w:ilvl w:val="0"/>
          <w:numId w:val="1002"/>
        </w:numPr>
        <w:pStyle w:val="Compact"/>
      </w:pPr>
      <w:hyperlink r:id="rId35">
        <w:r>
          <w:rPr>
            <w:rStyle w:val="Hyperlink"/>
          </w:rPr>
          <w:t xml:space="preserve">r/SideProject post by u/Special-Sprinkles-85</w:t>
        </w:r>
      </w:hyperlink>
    </w:p>
    <w:p>
      <w:pPr>
        <w:numPr>
          <w:ilvl w:val="0"/>
          <w:numId w:val="1002"/>
        </w:numPr>
        <w:pStyle w:val="Compact"/>
      </w:pPr>
      <w:hyperlink r:id="rId29">
        <w:r>
          <w:rPr>
            <w:rStyle w:val="Hyperlink"/>
          </w:rPr>
          <w:t xml:space="preserve">Latest open artifacts (#23): Laguna S2.1, Inkling, &amp; Kimi K3 show the utility of open models on the Pareto frontier</w:t>
        </w:r>
      </w:hyperlink>
    </w:p>
    <w:p>
      <w:pPr>
        <w:numPr>
          <w:ilvl w:val="0"/>
          <w:numId w:val="1002"/>
        </w:numPr>
        <w:pStyle w:val="Compact"/>
      </w:pPr>
      <w:hyperlink r:id="rId36">
        <w:r>
          <w:rPr>
            <w:rStyle w:val="Hyperlink"/>
          </w:rPr>
          <w:t xml:space="preserve">𝕏 post by</w:t>
        </w:r>
        <w:r>
          <w:rPr>
            <w:rStyle w:val="Hyperlink"/>
          </w:rPr>
          <w:t xml:space="preserve"> </w:t>
        </w:r>
        <w:r>
          <w:rPr>
            <w:rStyle w:val="Hyperlink"/>
          </w:rPr>
          <w:t xml:space="preserve">@Alibaba_Qwen</w:t>
        </w:r>
      </w:hyperlink>
    </w:p>
    <w:p>
      <w:pPr>
        <w:numPr>
          <w:ilvl w:val="0"/>
          <w:numId w:val="1002"/>
        </w:numPr>
        <w:pStyle w:val="Compact"/>
      </w:pPr>
      <w:hyperlink r:id="rId37">
        <w:r>
          <w:rPr>
            <w:rStyle w:val="Hyperlink"/>
          </w:rPr>
          <w:t xml:space="preserve">𝕏 post by</w:t>
        </w:r>
        <w:r>
          <w:rPr>
            <w:rStyle w:val="Hyperlink"/>
          </w:rPr>
          <w:t xml:space="preserve"> </w:t>
        </w:r>
        <w:r>
          <w:rPr>
            <w:rStyle w:val="Hyperlink"/>
          </w:rPr>
          <w:t xml:space="preserve">@bindureddy</w:t>
        </w:r>
      </w:hyperlink>
    </w:p>
    <w:p>
      <w:pPr>
        <w:numPr>
          <w:ilvl w:val="0"/>
          <w:numId w:val="1002"/>
        </w:numPr>
        <w:pStyle w:val="Compact"/>
      </w:pPr>
      <w:hyperlink r:id="rId24">
        <w:r>
          <w:rPr>
            <w:rStyle w:val="Hyperlink"/>
          </w:rPr>
          <w:t xml:space="preserve">NVIDIA’s AI Learns Why Copying Humans Isn’t Enough</w:t>
        </w:r>
      </w:hyperlink>
    </w:p>
    <w:p>
      <w:pPr>
        <w:numPr>
          <w:ilvl w:val="0"/>
          <w:numId w:val="1002"/>
        </w:numPr>
        <w:pStyle w:val="Compact"/>
      </w:pPr>
      <w:hyperlink r:id="rId38">
        <w:r>
          <w:rPr>
            <w:rStyle w:val="Hyperlink"/>
          </w:rPr>
          <w:t xml:space="preserve">A Strategic Analysis: Neoclouds vs Hyperscalers And The Future of Inference</w:t>
        </w:r>
      </w:hyperlink>
    </w:p>
    <w:p>
      <w:pPr>
        <w:numPr>
          <w:ilvl w:val="0"/>
          <w:numId w:val="1002"/>
        </w:numPr>
        <w:pStyle w:val="Compact"/>
      </w:pPr>
      <w:hyperlink r:id="rId39">
        <w:r>
          <w:rPr>
            <w:rStyle w:val="Hyperlink"/>
          </w:rPr>
          <w:t xml:space="preserve">r/SaaS comment by u/SaaSToAgent</w:t>
        </w:r>
      </w:hyperlink>
    </w:p>
    <w:p>
      <w:pPr>
        <w:numPr>
          <w:ilvl w:val="0"/>
          <w:numId w:val="1002"/>
        </w:numPr>
        <w:pStyle w:val="Compact"/>
      </w:pPr>
      <w:hyperlink r:id="rId40">
        <w:r>
          <w:rPr>
            <w:rStyle w:val="Hyperlink"/>
          </w:rPr>
          <w:t xml:space="preserve">r/SaaS comment by u/Difficult-Cap-6950</w:t>
        </w:r>
      </w:hyperlink>
    </w:p>
    <w:p>
      <w:pPr>
        <w:numPr>
          <w:ilvl w:val="0"/>
          <w:numId w:val="1002"/>
        </w:numPr>
        <w:pStyle w:val="Compact"/>
      </w:pPr>
      <w:hyperlink r:id="rId41">
        <w:r>
          <w:rPr>
            <w:rStyle w:val="Hyperlink"/>
          </w:rPr>
          <w:t xml:space="preserve">r/SaaS comment by u/Tsilis5</w:t>
        </w:r>
      </w:hyperlink>
    </w:p>
    <w:p>
      <w:pPr>
        <w:numPr>
          <w:ilvl w:val="0"/>
          <w:numId w:val="1002"/>
        </w:numPr>
        <w:pStyle w:val="Compact"/>
      </w:pPr>
      <w:hyperlink r:id="rId42">
        <w:r>
          <w:rPr>
            <w:rStyle w:val="Hyperlink"/>
          </w:rPr>
          <w:t xml:space="preserve">r/SaaS post by u/Warm-Reaction-456</w:t>
        </w:r>
      </w:hyperlink>
    </w:p>
    <w:p>
      <w:pPr>
        <w:numPr>
          <w:ilvl w:val="0"/>
          <w:numId w:val="1002"/>
        </w:numPr>
        <w:pStyle w:val="Compact"/>
      </w:pPr>
      <w:hyperlink r:id="rId43">
        <w:r>
          <w:rPr>
            <w:rStyle w:val="Hyperlink"/>
          </w:rPr>
          <w:t xml:space="preserve">r/artificial post by u/SpiritRealistic8174</w:t>
        </w:r>
      </w:hyperlink>
    </w:p>
    <w:p>
      <w:pPr>
        <w:numPr>
          <w:ilvl w:val="0"/>
          <w:numId w:val="1002"/>
        </w:numPr>
        <w:pStyle w:val="Compact"/>
      </w:pPr>
      <w:hyperlink r:id="rId31">
        <w:r>
          <w:rPr>
            <w:rStyle w:val="Hyperlink"/>
          </w:rPr>
          <w:t xml:space="preserve">Jason’s Takes on This Week’s 20VC: The Toggle Is a Permission Grant, The Blame Test Decides the Deal, and Why Five Years of Price Increases Is a Countdown</w:t>
        </w:r>
      </w:hyperlink>
    </w:p>
    <w:bookmarkEnd w:id="44"/>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5" Target="media/rId25.jpg" /><Relationship Type="http://schemas.openxmlformats.org/officeDocument/2006/relationships/hyperlink" Id="rId30" Target="https://github.com/piemasterflex111/hermes-project-autopilot" TargetMode="External" /><Relationship Type="http://schemas.openxmlformats.org/officeDocument/2006/relationships/hyperlink" Id="rId38" Target="https://investinginai.substack.com/p/a-strategic-analysis-neoclouds-vs" TargetMode="External" /><Relationship Type="http://schemas.openxmlformats.org/officeDocument/2006/relationships/hyperlink" Id="rId29" Target="https://www.interconnects.ai/p/latest-open-artifacts-23-laguna-s21" TargetMode="External" /><Relationship Type="http://schemas.openxmlformats.org/officeDocument/2006/relationships/hyperlink" Id="rId42" Target="https://www.reddit.com/r/SaaS/comments/1vdi46f/" TargetMode="External" /><Relationship Type="http://schemas.openxmlformats.org/officeDocument/2006/relationships/hyperlink" Id="rId39" Target="https://www.reddit.com/r/SaaS/comments/1vdjxyz/comment/p19jrzx/" TargetMode="External" /><Relationship Type="http://schemas.openxmlformats.org/officeDocument/2006/relationships/hyperlink" Id="rId40" Target="https://www.reddit.com/r/SaaS/comments/1vdjxyz/comment/p19x5a3/" TargetMode="External" /><Relationship Type="http://schemas.openxmlformats.org/officeDocument/2006/relationships/hyperlink" Id="rId41" Target="https://www.reddit.com/r/SaaS/comments/1vdjxyz/comment/p1a4k1i/" TargetMode="External" /><Relationship Type="http://schemas.openxmlformats.org/officeDocument/2006/relationships/hyperlink" Id="rId35" Target="https://www.reddit.com/r/SideProject/comments/1vdc5ln/" TargetMode="External" /><Relationship Type="http://schemas.openxmlformats.org/officeDocument/2006/relationships/hyperlink" Id="rId33" Target="https://www.reddit.com/r/SideProject/comments/1vdcuqo/" TargetMode="External" /><Relationship Type="http://schemas.openxmlformats.org/officeDocument/2006/relationships/hyperlink" Id="rId34" Target="https://www.reddit.com/r/SideProject/comments/1vdcuqo/comment/p19xzll/" TargetMode="External" /><Relationship Type="http://schemas.openxmlformats.org/officeDocument/2006/relationships/hyperlink" Id="rId43" Target="https://www.reddit.com/r/artificial/comments/1vdlbbx/" TargetMode="External" /><Relationship Type="http://schemas.openxmlformats.org/officeDocument/2006/relationships/hyperlink" Id="rId31" Target="https://www.saastr.com/jasons-takes-on-this-weeks-20vc-the-toggle-is-a-permission-grant-the-blame-test-decides-the-deal-and-why-five-years-of-price-increases-is-a-countdown" TargetMode="External" /><Relationship Type="http://schemas.openxmlformats.org/officeDocument/2006/relationships/hyperlink" Id="rId24" Target="https://www.youtube.com/watch?v=8B05cy3UuSE" TargetMode="External" /><Relationship Type="http://schemas.openxmlformats.org/officeDocument/2006/relationships/hyperlink" Id="rId36" Target="https://x.com/Alibaba_Qwen/status/2084093402967396594" TargetMode="External" /><Relationship Type="http://schemas.openxmlformats.org/officeDocument/2006/relationships/hyperlink" Id="rId32" Target="https://x.com/Suhail/status/2083959529038094709" TargetMode="External" /><Relationship Type="http://schemas.openxmlformats.org/officeDocument/2006/relationships/hyperlink" Id="rId37" Target="https://x.com/bindureddy/status/2084126550316962231" TargetMode="External" /><Relationship Type="http://schemas.openxmlformats.org/officeDocument/2006/relationships/hyperlink" Id="rId28" Target="https://youtube.com/watch?v=8B05cy3UuSE&amp;t=176" TargetMode="External" /></Relationships>
</file>

<file path=word/_rels/footnotes.xml.rels><?xml version="1.0" encoding="UTF-8"?><Relationships xmlns="http://schemas.openxmlformats.org/package/2006/relationships"><Relationship Type="http://schemas.openxmlformats.org/officeDocument/2006/relationships/hyperlink" Id="rId30" Target="https://github.com/piemasterflex111/hermes-project-autopilot" TargetMode="External" /><Relationship Type="http://schemas.openxmlformats.org/officeDocument/2006/relationships/hyperlink" Id="rId38" Target="https://investinginai.substack.com/p/a-strategic-analysis-neoclouds-vs" TargetMode="External" /><Relationship Type="http://schemas.openxmlformats.org/officeDocument/2006/relationships/hyperlink" Id="rId29" Target="https://www.interconnects.ai/p/latest-open-artifacts-23-laguna-s21" TargetMode="External" /><Relationship Type="http://schemas.openxmlformats.org/officeDocument/2006/relationships/hyperlink" Id="rId42" Target="https://www.reddit.com/r/SaaS/comments/1vdi46f/" TargetMode="External" /><Relationship Type="http://schemas.openxmlformats.org/officeDocument/2006/relationships/hyperlink" Id="rId39" Target="https://www.reddit.com/r/SaaS/comments/1vdjxyz/comment/p19jrzx/" TargetMode="External" /><Relationship Type="http://schemas.openxmlformats.org/officeDocument/2006/relationships/hyperlink" Id="rId40" Target="https://www.reddit.com/r/SaaS/comments/1vdjxyz/comment/p19x5a3/" TargetMode="External" /><Relationship Type="http://schemas.openxmlformats.org/officeDocument/2006/relationships/hyperlink" Id="rId41" Target="https://www.reddit.com/r/SaaS/comments/1vdjxyz/comment/p1a4k1i/" TargetMode="External" /><Relationship Type="http://schemas.openxmlformats.org/officeDocument/2006/relationships/hyperlink" Id="rId35" Target="https://www.reddit.com/r/SideProject/comments/1vdc5ln/" TargetMode="External" /><Relationship Type="http://schemas.openxmlformats.org/officeDocument/2006/relationships/hyperlink" Id="rId33" Target="https://www.reddit.com/r/SideProject/comments/1vdcuqo/" TargetMode="External" /><Relationship Type="http://schemas.openxmlformats.org/officeDocument/2006/relationships/hyperlink" Id="rId34" Target="https://www.reddit.com/r/SideProject/comments/1vdcuqo/comment/p19xzll/" TargetMode="External" /><Relationship Type="http://schemas.openxmlformats.org/officeDocument/2006/relationships/hyperlink" Id="rId43" Target="https://www.reddit.com/r/artificial/comments/1vdlbbx/" TargetMode="External" /><Relationship Type="http://schemas.openxmlformats.org/officeDocument/2006/relationships/hyperlink" Id="rId31" Target="https://www.saastr.com/jasons-takes-on-this-weeks-20vc-the-toggle-is-a-permission-grant-the-blame-test-decides-the-deal-and-why-five-years-of-price-increases-is-a-countdown" TargetMode="External" /><Relationship Type="http://schemas.openxmlformats.org/officeDocument/2006/relationships/hyperlink" Id="rId24" Target="https://www.youtube.com/watch?v=8B05cy3UuSE" TargetMode="External" /><Relationship Type="http://schemas.openxmlformats.org/officeDocument/2006/relationships/hyperlink" Id="rId36" Target="https://x.com/Alibaba_Qwen/status/2084093402967396594" TargetMode="External" /><Relationship Type="http://schemas.openxmlformats.org/officeDocument/2006/relationships/hyperlink" Id="rId32" Target="https://x.com/Suhail/status/2083959529038094709" TargetMode="External" /><Relationship Type="http://schemas.openxmlformats.org/officeDocument/2006/relationships/hyperlink" Id="rId37" Target="https://x.com/bindureddy/status/2084126550316962231" TargetMode="External" /><Relationship Type="http://schemas.openxmlformats.org/officeDocument/2006/relationships/hyperlink" Id="rId28" Target="https://youtube.com/watch?v=8B05cy3UuSE&amp;t=17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Models Multiply as Inference Capacity Tightens</dc:title>
  <dc:creator>VC Tech Radar</dc:creator>
  <cp:keywords/>
  <dcterms:created xsi:type="dcterms:W3CDTF">2026-08-03T23:39:36Z</dcterms:created>
  <dcterms:modified xsi:type="dcterms:W3CDTF">2026-08-03T23:39:36Z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2026-08-03</vt:lpwstr>
  </property>
</Properties>
</file>