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Open Models Push Capability Into Post-Training, Local Hardware, and Lower-Cost Agents</w:t>
      </w:r>
    </w:p>
    <w:p>
      <w:pPr>
        <w:pStyle w:val="Author"/>
      </w:pPr>
      <w:r>
        <w:t xml:space="preserve">AI High Signal Digest</w:t>
      </w:r>
    </w:p>
    <w:p>
      <w:pPr>
        <w:pStyle w:val="Date"/>
      </w:pPr>
      <w:r>
        <w:t xml:space="preserve">2026-08-15</w:t>
      </w:r>
    </w:p>
    <w:bookmarkStart w:id="45" w:name="X937f422fb4b42d3c3a08d78f9830dba4f862cc5"/>
    <w:p>
      <w:pPr>
        <w:pStyle w:val="Heading1"/>
      </w:pPr>
      <w:r>
        <w:t xml:space="preserve">Open Models Push Capability Into Post-Training, Local Hardware, and Lower-Cost Agents</w:t>
      </w:r>
    </w:p>
    <w:p>
      <w:pPr>
        <w:pStyle w:val="FirstParagraph"/>
      </w:pPr>
      <w:r>
        <w:rPr>
          <w:iCs/>
          <w:i/>
        </w:rPr>
        <w:t xml:space="preserve">By AI High Signal Digest • August 15, 2026</w:t>
      </w:r>
    </w:p>
    <w:p>
      <w:pPr>
        <w:pStyle w:val="BodyText"/>
      </w:pPr>
      <w:r>
        <w:t xml:space="preserve">GLM-5.3, Qwen3.8, and DeepSeek V4 Pro show the open-weight race moving beyond model size toward post-training, local deployment, and cost efficiency, while Cursor’s SpaceX acquisition extends the competition into agent distribution.</w:t>
      </w:r>
    </w:p>
    <w:bookmarkStart w:id="20" w:name="top-stories"/>
    <w:p>
      <w:pPr>
        <w:pStyle w:val="Heading2"/>
      </w:pPr>
      <w:r>
        <w:t xml:space="preserve">Top Stories</w:t>
      </w:r>
    </w:p>
    <w:p>
      <w:pPr>
        <w:pStyle w:val="FirstParagraph"/>
      </w:pPr>
      <w:r>
        <w:rPr>
          <w:iCs/>
          <w:i/>
        </w:rPr>
        <w:t xml:space="preserve">Why it matters: Open-weight competition is shifting from pretraining scale alone to post-training, deployability, and cost.</w:t>
      </w:r>
      <w:r>
        <w:t xml:space="preserve"> </w:t>
      </w:r>
      <w:r>
        <w:t xml:space="preserve">[1, 2, 3]</w:t>
      </w:r>
    </w:p>
    <w:p>
      <w:pPr>
        <w:pStyle w:val="BodyText"/>
      </w:pPr>
      <w:r>
        <w:rPr>
          <w:bCs/>
          <w:b/>
        </w:rPr>
        <w:t xml:space="preserve">GLM-5.3 makes post-training and release governance the headline.</w:t>
      </w:r>
      <w:r>
        <w:t xml:space="preserve"> </w:t>
      </w:r>
      <w:r>
        <w:t xml:space="preserve">Z.ai says its 743B base is unchanged from GLM-5.2 and that gains came from scaling post-training across environments, diverse tasks, and long-horizon workflows. It reports CyberGym at 84.5% versus 77.2%, ExploitBench at 54.4% versus 24.4%, and 105 completed ExploitGym tasks in two hours versus 29. [1, 4] Because the capability is dual-use, Z.ai plans a staged release—controlled partners, broader API access, then complete weights after safety evaluations—and says model-level alignment will accompany the open checkpoint, unlike hosted-only safeguards. [4]</w:t>
      </w:r>
    </w:p>
    <w:p>
      <w:pPr>
        <w:pStyle w:val="BodyText"/>
      </w:pPr>
      <w:r>
        <w:rPr>
          <w:bCs/>
          <w:b/>
        </w:rPr>
        <w:t xml:space="preserve">Qwen3.8 makes high-end and single-GPU open weights available together.</w:t>
      </w:r>
      <w:r>
        <w:t xml:space="preserve"> </w:t>
      </w:r>
      <w:r>
        <w:t xml:space="preserve">Alibaba released the Apache 2.0 Qwen3.8-27B, a multimodal dense model with 262K native context extendable to 1M, alongside the 2.4T/95B-active Max model. [2] vLLM reports that the 27B model fits on one Blackwell GPU, includes an integrated speculative-decoding head, and has been verified with tool calls at 1M context. [5] The significance is practical: developers can choose between a very large hosted-style model and a locally deployable checkpoint from the same release family.</w:t>
      </w:r>
    </w:p>
    <w:p>
      <w:pPr>
        <w:pStyle w:val="BodyText"/>
      </w:pPr>
      <w:r>
        <w:rPr>
          <w:bCs/>
          <w:b/>
        </w:rPr>
        <w:t xml:space="preserve">DeepSeek V4 Pro 0813 attaches a price warning to the surge.</w:t>
      </w:r>
      <w:r>
        <w:t xml:space="preserve"> </w:t>
      </w:r>
      <w:r>
        <w:t xml:space="preserve">Artificial Analysis scores it 53—eight points above April’s version—and calls it the second-most-intelligent open-weight model it has benchmarked, with roughly 30% fewer output tokens. But new first-party pricing is 264% higher from August 16, lifting cost per task from $0.05 to $0.25 and leaving it only barely on the intelligence/cost frontier. [3]</w:t>
      </w:r>
    </w:p>
    <w:bookmarkEnd w:id="20"/>
    <w:bookmarkStart w:id="21" w:name="research-innovation"/>
    <w:p>
      <w:pPr>
        <w:pStyle w:val="Heading2"/>
      </w:pPr>
      <w:r>
        <w:t xml:space="preserve">Research &amp; Innovation</w:t>
      </w:r>
    </w:p>
    <w:p>
      <w:pPr>
        <w:pStyle w:val="FirstParagraph"/>
      </w:pPr>
      <w:r>
        <w:rPr>
          <w:iCs/>
          <w:i/>
        </w:rPr>
        <w:t xml:space="preserve">Why it matters: The strongest technical signals are about making long-horizon behavior trainable while preventing agents from carrying failures forward.</w:t>
      </w:r>
    </w:p>
    <w:p>
      <w:pPr>
        <w:pStyle w:val="BodyText"/>
      </w:pPr>
      <w:r>
        <w:rPr>
          <w:bCs/>
          <w:b/>
        </w:rPr>
        <w:t xml:space="preserve">Faraday turns research replication into an RL task.</w:t>
      </w:r>
      <w:r>
        <w:t xml:space="preserve"> </w:t>
      </w:r>
      <w:r>
        <w:t xml:space="preserve">Inherent Labs introduced the 27B agent as trained with long-horizon reinforcement learning; the reported system beat Claude Opus 4.8 and GPT-5.5 on held-out paper replication. Its Replica setup uses hypothesis-driven exploration and an automatically generated rubric judge, while the authors say Faraday’s coding-agent tools and rollout analysis point toward scientific capability trained into weights rather than supplied by a complex harness. [6, 7]</w:t>
      </w:r>
    </w:p>
    <w:p>
      <w:pPr>
        <w:pStyle w:val="BodyText"/>
      </w:pPr>
      <w:r>
        <w:rPr>
          <w:bCs/>
          <w:b/>
        </w:rPr>
        <w:t xml:space="preserve">Skill libraries can preserve unsafe behavior.</w:t>
      </w:r>
      <w:r>
        <w:t xml:space="preserve"> </w:t>
      </w:r>
      <w:r>
        <w:t xml:space="preserve">A SkillMisevo-Gym study found that all 21 evolved configurations authored unsafe artifacts across 25 agent-method configurations, while 15 caused harm in a fresh session; three malicious tasks raised carryover attack success from 16.0% to 35.3%. Its SafeEvolve wrapper reduced unsafe retrieval by 26.7 points and fresh-session harm by 17.3 points, with only a 0.4-point utility change. [8]</w:t>
      </w:r>
    </w:p>
    <w:bookmarkEnd w:id="21"/>
    <w:bookmarkStart w:id="22" w:name="products-launches"/>
    <w:p>
      <w:pPr>
        <w:pStyle w:val="Heading2"/>
      </w:pPr>
      <w:r>
        <w:t xml:space="preserve">Products &amp; Launches</w:t>
      </w:r>
    </w:p>
    <w:p>
      <w:pPr>
        <w:pStyle w:val="FirstParagraph"/>
      </w:pPr>
      <w:r>
        <w:rPr>
          <w:iCs/>
          <w:i/>
        </w:rPr>
        <w:t xml:space="preserve">Why it matters: The agent layer is becoming programmable infrastructure around models, not just a chat interface.</w:t>
      </w:r>
    </w:p>
    <w:p>
      <w:pPr>
        <w:pStyle w:val="BodyText"/>
      </w:pPr>
      <w:r>
        <w:rPr>
          <w:bCs/>
          <w:b/>
        </w:rPr>
        <w:t xml:space="preserve">DeepSeek Harness v0.1</w:t>
      </w:r>
      <w:r>
        <w:t xml:space="preserve"> </w:t>
      </w:r>
      <w:r>
        <w:t xml:space="preserve">is a developer-preview, MIT-licensed runtime in which models, tools, skills, sessions, sandboxes, filesystems, loops, orchestration, and UI are all replaceable plugins. [9]</w:t>
      </w:r>
      <w:r>
        <w:t xml:space="preserve"> </w:t>
      </w:r>
      <w:r>
        <w:rPr>
          <w:bCs/>
          <w:b/>
        </w:rPr>
        <w:t xml:space="preserve">Perplexity Search SDK</w:t>
      </w:r>
      <w:r>
        <w:t xml:space="preserve"> </w:t>
      </w:r>
      <w:r>
        <w:t xml:space="preserve">brings</w:t>
      </w:r>
      <w:r>
        <w:t xml:space="preserve"> </w:t>
      </w:r>
      <w:r>
        <w:t xml:space="preserve">“</w:t>
      </w:r>
      <w:r>
        <w:t xml:space="preserve">Search as Code</w:t>
      </w:r>
      <w:r>
        <w:t xml:space="preserve">”</w:t>
      </w:r>
      <w:r>
        <w:t xml:space="preserve"> </w:t>
      </w:r>
      <w:r>
        <w:t xml:space="preserve">to Python applications, letting agents fan out searches and filter, deduplicate, and rank results in code. [10]</w:t>
      </w:r>
    </w:p>
    <w:bookmarkEnd w:id="22"/>
    <w:bookmarkStart w:id="23" w:name="industry-moves"/>
    <w:p>
      <w:pPr>
        <w:pStyle w:val="Heading2"/>
      </w:pPr>
      <w:r>
        <w:t xml:space="preserve">Industry Moves</w:t>
      </w:r>
    </w:p>
    <w:p>
      <w:pPr>
        <w:pStyle w:val="FirstParagraph"/>
      </w:pPr>
      <w:r>
        <w:rPr>
          <w:iCs/>
          <w:i/>
        </w:rPr>
        <w:t xml:space="preserve">Why it matters: Model competition is pulling product distribution and independent evaluation into the same strategic contest.</w:t>
      </w:r>
    </w:p>
    <w:p>
      <w:pPr>
        <w:pStyle w:val="BodyText"/>
      </w:pPr>
      <w:r>
        <w:rPr>
          <w:bCs/>
          <w:b/>
        </w:rPr>
        <w:t xml:space="preserve">SpaceX completed its reported $60 billion acquisition of Cursor.</w:t>
      </w:r>
      <w:r>
        <w:t xml:space="preserve"> </w:t>
      </w:r>
      <w:r>
        <w:t xml:space="preserve">Cursor confirmed the deal’s close and said its team will join SpaceXAI to improve Grok, Grok Build, Grok Bot, the Grok API, and Cursor itself. [11, 12]</w:t>
      </w:r>
      <w:r>
        <w:t xml:space="preserve"> </w:t>
      </w:r>
      <w:r>
        <w:rPr>
          <w:bCs/>
          <w:b/>
        </w:rPr>
        <w:t xml:space="preserve">METR raised around $71 million in commitments</w:t>
      </w:r>
      <w:r>
        <w:t xml:space="preserve"> </w:t>
      </w:r>
      <w:r>
        <w:t xml:space="preserve">for work on autonomous capabilities, recursive self-improvement, monitoring, risk assessments, and incidents; it says it remains independent of frontier AI companies, while acknowledging their significant in-kind token support. [13, 14]</w:t>
      </w:r>
    </w:p>
    <w:bookmarkEnd w:id="23"/>
    <w:bookmarkStart w:id="24" w:name="policy-regulation"/>
    <w:p>
      <w:pPr>
        <w:pStyle w:val="Heading2"/>
      </w:pPr>
      <w:r>
        <w:t xml:space="preserve">Policy &amp; Regulation</w:t>
      </w:r>
    </w:p>
    <w:p>
      <w:pPr>
        <w:pStyle w:val="FirstParagraph"/>
      </w:pPr>
      <w:r>
        <w:rPr>
          <w:iCs/>
          <w:i/>
        </w:rPr>
        <w:t xml:space="preserve">Why it matters: Output provenance is becoming a deployment requirement designed to be invisible to users.</w:t>
      </w:r>
    </w:p>
    <w:p>
      <w:pPr>
        <w:pStyle w:val="BodyText"/>
      </w:pPr>
      <w:r>
        <w:t xml:space="preserve">Anthropic says it is implementing text watermarking for Claude to comply with the EU AI Act, alongside other major developers that signed the same Code of Practice. It says the watermark has no practical effect on output quality, adds no hidden characters or extra tokens, costs no more, and cannot be traced to a person, organization, or chat. [15]</w:t>
      </w:r>
    </w:p>
    <w:bookmarkEnd w:id="24"/>
    <w:bookmarkStart w:id="44" w:name="quick-takes"/>
    <w:p>
      <w:pPr>
        <w:pStyle w:val="Heading2"/>
      </w:pPr>
      <w:r>
        <w:t xml:space="preserve">Quick Takes</w:t>
      </w:r>
    </w:p>
    <w:p>
      <w:pPr>
        <w:pStyle w:val="FirstParagraph"/>
      </w:pPr>
      <w:r>
        <w:rPr>
          <w:iCs/>
          <w:i/>
        </w:rPr>
        <w:t xml:space="preserve">Why it matters: The frontier is also moving through operational benchmarks, product infrastructure, and real-world data quality.</w:t>
      </w:r>
    </w:p>
    <w:p>
      <w:pPr>
        <w:numPr>
          <w:ilvl w:val="0"/>
          <w:numId w:val="1001"/>
        </w:numPr>
        <w:pStyle w:val="Compact"/>
      </w:pPr>
      <w:r>
        <w:rPr>
          <w:bCs/>
          <w:b/>
        </w:rPr>
        <w:t xml:space="preserve">Gemini 3.7 Flash:</w:t>
      </w:r>
      <w:r>
        <w:t xml:space="preserve"> </w:t>
      </w:r>
      <w:r>
        <w:t xml:space="preserve">On cyb3rops’ THOR benchmark, it scored 72.5%, with 100% threat capture and zero critical misses across 189 real-world findings; the author ranked it first by a wide margin. [16]</w:t>
      </w:r>
    </w:p>
    <w:p>
      <w:pPr>
        <w:numPr>
          <w:ilvl w:val="0"/>
          <w:numId w:val="1001"/>
        </w:numPr>
        <w:pStyle w:val="Compact"/>
      </w:pPr>
      <w:r>
        <w:rPr>
          <w:bCs/>
          <w:b/>
        </w:rPr>
        <w:t xml:space="preserve">Long-context UX:</w:t>
      </w:r>
      <w:r>
        <w:t xml:space="preserve"> </w:t>
      </w:r>
      <w:r>
        <w:t xml:space="preserve">TokenGremlin reports an upcoming OpenAI upgrade that cut a 741-turn, 231 MB conversation’s load time from 27.6 seconds to 1.66 seconds in an internal test, with 41% less memory growth. [17]</w:t>
      </w:r>
    </w:p>
    <w:p>
      <w:pPr>
        <w:numPr>
          <w:ilvl w:val="0"/>
          <w:numId w:val="1001"/>
        </w:numPr>
        <w:pStyle w:val="Compact"/>
      </w:pPr>
      <w:r>
        <w:rPr>
          <w:bCs/>
          <w:b/>
        </w:rPr>
        <w:t xml:space="preserve">Document extraction:</w:t>
      </w:r>
      <w:r>
        <w:t xml:space="preserve"> </w:t>
      </w:r>
      <w:r>
        <w:t xml:space="preserve">LlamaIndex’s ExtractBench tested 14 systems on scans, handwriting, and degraded historical documents; the failures did not overlap, underscoring why clean-PDF evaluations miss production blind spots. [18]</w:t>
      </w:r>
    </w:p>
    <w:p>
      <w:r>
        <w:pict>
          <v:rect style="width:0;height:1.5pt" o:hralign="center" o:hrstd="t" o:hr="t"/>
        </w:pict>
      </w:r>
    </w:p>
    <w:bookmarkStart w:id="43" w:name="sources"/>
    <w:p>
      <w:pPr>
        <w:pStyle w:val="Heading3"/>
      </w:pPr>
      <w:r>
        <w:t xml:space="preserve">Sources</w:t>
      </w:r>
    </w:p>
    <w:p>
      <w:pPr>
        <w:numPr>
          <w:ilvl w:val="0"/>
          <w:numId w:val="1002"/>
        </w:numPr>
        <w:pStyle w:val="Compact"/>
      </w:pPr>
      <w:hyperlink r:id="rId25">
        <w:r>
          <w:rPr>
            <w:rStyle w:val="Hyperlink"/>
          </w:rPr>
          <w:t xml:space="preserve">𝕏 post by</w:t>
        </w:r>
        <w:r>
          <w:rPr>
            <w:rStyle w:val="Hyperlink"/>
          </w:rPr>
          <w:t xml:space="preserve"> </w:t>
        </w:r>
        <w:r>
          <w:rPr>
            <w:rStyle w:val="Hyperlink"/>
          </w:rPr>
          <w:t xml:space="preserve">@kimmonismus</w:t>
        </w:r>
      </w:hyperlink>
    </w:p>
    <w:p>
      <w:pPr>
        <w:numPr>
          <w:ilvl w:val="0"/>
          <w:numId w:val="1002"/>
        </w:numPr>
        <w:pStyle w:val="Compact"/>
      </w:pPr>
      <w:hyperlink r:id="rId26">
        <w:r>
          <w:rPr>
            <w:rStyle w:val="Hyperlink"/>
          </w:rPr>
          <w:t xml:space="preserve">𝕏 post by</w:t>
        </w:r>
        <w:r>
          <w:rPr>
            <w:rStyle w:val="Hyperlink"/>
          </w:rPr>
          <w:t xml:space="preserve"> </w:t>
        </w:r>
        <w:r>
          <w:rPr>
            <w:rStyle w:val="Hyperlink"/>
          </w:rPr>
          <w:t xml:space="preserve">@Alibaba_Qwen</w:t>
        </w:r>
      </w:hyperlink>
    </w:p>
    <w:p>
      <w:pPr>
        <w:numPr>
          <w:ilvl w:val="0"/>
          <w:numId w:val="1002"/>
        </w:numPr>
        <w:pStyle w:val="Compact"/>
      </w:pPr>
      <w:hyperlink r:id="rId27">
        <w:r>
          <w:rPr>
            <w:rStyle w:val="Hyperlink"/>
          </w:rPr>
          <w:t xml:space="preserve">𝕏 post by</w:t>
        </w:r>
        <w:r>
          <w:rPr>
            <w:rStyle w:val="Hyperlink"/>
          </w:rPr>
          <w:t xml:space="preserve"> </w:t>
        </w:r>
        <w:r>
          <w:rPr>
            <w:rStyle w:val="Hyperlink"/>
          </w:rPr>
          <w:t xml:space="preserve">@ArtificialAnlys</w:t>
        </w:r>
      </w:hyperlink>
    </w:p>
    <w:p>
      <w:pPr>
        <w:numPr>
          <w:ilvl w:val="0"/>
          <w:numId w:val="1002"/>
        </w:numPr>
        <w:pStyle w:val="Compact"/>
      </w:pPr>
      <w:hyperlink r:id="rId28">
        <w:r>
          <w:rPr>
            <w:rStyle w:val="Hyperlink"/>
          </w:rPr>
          <w:t xml:space="preserve">𝕏 article by</w:t>
        </w:r>
        <w:r>
          <w:rPr>
            <w:rStyle w:val="Hyperlink"/>
          </w:rPr>
          <w:t xml:space="preserve"> </w:t>
        </w:r>
        <w:r>
          <w:rPr>
            <w:rStyle w:val="Hyperlink"/>
          </w:rPr>
          <w:t xml:space="preserve">@Zai_org</w:t>
        </w:r>
      </w:hyperlink>
    </w:p>
    <w:p>
      <w:pPr>
        <w:numPr>
          <w:ilvl w:val="0"/>
          <w:numId w:val="1002"/>
        </w:numPr>
        <w:pStyle w:val="Compact"/>
      </w:pPr>
      <w:hyperlink r:id="rId29">
        <w:r>
          <w:rPr>
            <w:rStyle w:val="Hyperlink"/>
          </w:rPr>
          <w:t xml:space="preserve">𝕏 post by</w:t>
        </w:r>
        <w:r>
          <w:rPr>
            <w:rStyle w:val="Hyperlink"/>
          </w:rPr>
          <w:t xml:space="preserve"> </w:t>
        </w:r>
        <w:r>
          <w:rPr>
            <w:rStyle w:val="Hyperlink"/>
          </w:rPr>
          <w:t xml:space="preserve">@vllm_project</w:t>
        </w:r>
      </w:hyperlink>
    </w:p>
    <w:p>
      <w:pPr>
        <w:numPr>
          <w:ilvl w:val="0"/>
          <w:numId w:val="1002"/>
        </w:numPr>
        <w:pStyle w:val="Compact"/>
      </w:pPr>
      <w:hyperlink r:id="rId30">
        <w:r>
          <w:rPr>
            <w:rStyle w:val="Hyperlink"/>
          </w:rPr>
          <w:t xml:space="preserve">𝕏 post by</w:t>
        </w:r>
        <w:r>
          <w:rPr>
            <w:rStyle w:val="Hyperlink"/>
          </w:rPr>
          <w:t xml:space="preserve"> </w:t>
        </w:r>
        <w:r>
          <w:rPr>
            <w:rStyle w:val="Hyperlink"/>
          </w:rPr>
          <w:t xml:space="preserve">@inherent_labs</w:t>
        </w:r>
      </w:hyperlink>
    </w:p>
    <w:p>
      <w:pPr>
        <w:numPr>
          <w:ilvl w:val="0"/>
          <w:numId w:val="1002"/>
        </w:numPr>
        <w:pStyle w:val="Compact"/>
      </w:pPr>
      <w:hyperlink r:id="rId31">
        <w:r>
          <w:rPr>
            <w:rStyle w:val="Hyperlink"/>
          </w:rPr>
          <w:t xml:space="preserve">𝕏 post by</w:t>
        </w:r>
        <w:r>
          <w:rPr>
            <w:rStyle w:val="Hyperlink"/>
          </w:rPr>
          <w:t xml:space="preserve"> </w:t>
        </w:r>
        <w:r>
          <w:rPr>
            <w:rStyle w:val="Hyperlink"/>
          </w:rPr>
          <w:t xml:space="preserve">@omarsar0</w:t>
        </w:r>
      </w:hyperlink>
    </w:p>
    <w:p>
      <w:pPr>
        <w:numPr>
          <w:ilvl w:val="0"/>
          <w:numId w:val="1002"/>
        </w:numPr>
        <w:pStyle w:val="Compact"/>
      </w:pPr>
      <w:hyperlink r:id="rId32">
        <w:r>
          <w:rPr>
            <w:rStyle w:val="Hyperlink"/>
          </w:rPr>
          <w:t xml:space="preserve">𝕏 post by</w:t>
        </w:r>
        <w:r>
          <w:rPr>
            <w:rStyle w:val="Hyperlink"/>
          </w:rPr>
          <w:t xml:space="preserve"> </w:t>
        </w:r>
        <w:r>
          <w:rPr>
            <w:rStyle w:val="Hyperlink"/>
          </w:rPr>
          <w:t xml:space="preserve">@dair_ai</w:t>
        </w:r>
      </w:hyperlink>
    </w:p>
    <w:p>
      <w:pPr>
        <w:numPr>
          <w:ilvl w:val="0"/>
          <w:numId w:val="1002"/>
        </w:numPr>
        <w:pStyle w:val="Compact"/>
      </w:pPr>
      <w:hyperlink r:id="rId33">
        <w:r>
          <w:rPr>
            <w:rStyle w:val="Hyperlink"/>
          </w:rPr>
          <w:t xml:space="preserve">𝕏 post by</w:t>
        </w:r>
        <w:r>
          <w:rPr>
            <w:rStyle w:val="Hyperlink"/>
          </w:rPr>
          <w:t xml:space="preserve"> </w:t>
        </w:r>
        <w:r>
          <w:rPr>
            <w:rStyle w:val="Hyperlink"/>
          </w:rPr>
          <w:t xml:space="preserve">@deepseek_ai</w:t>
        </w:r>
      </w:hyperlink>
    </w:p>
    <w:p>
      <w:pPr>
        <w:numPr>
          <w:ilvl w:val="0"/>
          <w:numId w:val="1002"/>
        </w:numPr>
        <w:pStyle w:val="Compact"/>
      </w:pPr>
      <w:hyperlink r:id="rId34">
        <w:r>
          <w:rPr>
            <w:rStyle w:val="Hyperlink"/>
          </w:rPr>
          <w:t xml:space="preserve">𝕏 post by</w:t>
        </w:r>
        <w:r>
          <w:rPr>
            <w:rStyle w:val="Hyperlink"/>
          </w:rPr>
          <w:t xml:space="preserve"> </w:t>
        </w:r>
        <w:r>
          <w:rPr>
            <w:rStyle w:val="Hyperlink"/>
          </w:rPr>
          <w:t xml:space="preserve">@perplexitydevs</w:t>
        </w:r>
      </w:hyperlink>
    </w:p>
    <w:p>
      <w:pPr>
        <w:numPr>
          <w:ilvl w:val="0"/>
          <w:numId w:val="1002"/>
        </w:numPr>
        <w:pStyle w:val="Compact"/>
      </w:pPr>
      <w:hyperlink r:id="rId35">
        <w:r>
          <w:rPr>
            <w:rStyle w:val="Hyperlink"/>
          </w:rPr>
          <w:t xml:space="preserve">𝕏 post by</w:t>
        </w:r>
        <w:r>
          <w:rPr>
            <w:rStyle w:val="Hyperlink"/>
          </w:rPr>
          <w:t xml:space="preserve"> </w:t>
        </w:r>
        <w:r>
          <w:rPr>
            <w:rStyle w:val="Hyperlink"/>
          </w:rPr>
          <w:t xml:space="preserve">@kimmonismus</w:t>
        </w:r>
      </w:hyperlink>
    </w:p>
    <w:p>
      <w:pPr>
        <w:numPr>
          <w:ilvl w:val="0"/>
          <w:numId w:val="1002"/>
        </w:numPr>
        <w:pStyle w:val="Compact"/>
      </w:pPr>
      <w:hyperlink r:id="rId36">
        <w:r>
          <w:rPr>
            <w:rStyle w:val="Hyperlink"/>
          </w:rPr>
          <w:t xml:space="preserve">𝕏 post by</w:t>
        </w:r>
        <w:r>
          <w:rPr>
            <w:rStyle w:val="Hyperlink"/>
          </w:rPr>
          <w:t xml:space="preserve"> </w:t>
        </w:r>
        <w:r>
          <w:rPr>
            <w:rStyle w:val="Hyperlink"/>
          </w:rPr>
          <w:t xml:space="preserve">@cursor_ai</w:t>
        </w:r>
      </w:hyperlink>
    </w:p>
    <w:p>
      <w:pPr>
        <w:numPr>
          <w:ilvl w:val="0"/>
          <w:numId w:val="1002"/>
        </w:numPr>
        <w:pStyle w:val="Compact"/>
      </w:pPr>
      <w:hyperlink r:id="rId37">
        <w:r>
          <w:rPr>
            <w:rStyle w:val="Hyperlink"/>
          </w:rPr>
          <w:t xml:space="preserve">𝕏 post by</w:t>
        </w:r>
        <w:r>
          <w:rPr>
            <w:rStyle w:val="Hyperlink"/>
          </w:rPr>
          <w:t xml:space="preserve"> </w:t>
        </w:r>
        <w:r>
          <w:rPr>
            <w:rStyle w:val="Hyperlink"/>
          </w:rPr>
          <w:t xml:space="preserve">@METR_Evals</w:t>
        </w:r>
      </w:hyperlink>
    </w:p>
    <w:p>
      <w:pPr>
        <w:numPr>
          <w:ilvl w:val="0"/>
          <w:numId w:val="1002"/>
        </w:numPr>
        <w:pStyle w:val="Compact"/>
      </w:pPr>
      <w:hyperlink r:id="rId38">
        <w:r>
          <w:rPr>
            <w:rStyle w:val="Hyperlink"/>
          </w:rPr>
          <w:t xml:space="preserve">𝕏 post by</w:t>
        </w:r>
        <w:r>
          <w:rPr>
            <w:rStyle w:val="Hyperlink"/>
          </w:rPr>
          <w:t xml:space="preserve"> </w:t>
        </w:r>
        <w:r>
          <w:rPr>
            <w:rStyle w:val="Hyperlink"/>
          </w:rPr>
          <w:t xml:space="preserve">@METR_Evals</w:t>
        </w:r>
      </w:hyperlink>
    </w:p>
    <w:p>
      <w:pPr>
        <w:numPr>
          <w:ilvl w:val="0"/>
          <w:numId w:val="1002"/>
        </w:numPr>
        <w:pStyle w:val="Compact"/>
      </w:pPr>
      <w:hyperlink r:id="rId39">
        <w:r>
          <w:rPr>
            <w:rStyle w:val="Hyperlink"/>
          </w:rPr>
          <w:t xml:space="preserve">𝕏 post by</w:t>
        </w:r>
        <w:r>
          <w:rPr>
            <w:rStyle w:val="Hyperlink"/>
          </w:rPr>
          <w:t xml:space="preserve"> </w:t>
        </w:r>
        <w:r>
          <w:rPr>
            <w:rStyle w:val="Hyperlink"/>
          </w:rPr>
          <w:t xml:space="preserve">@AnthropicAI</w:t>
        </w:r>
      </w:hyperlink>
    </w:p>
    <w:p>
      <w:pPr>
        <w:numPr>
          <w:ilvl w:val="0"/>
          <w:numId w:val="1002"/>
        </w:numPr>
        <w:pStyle w:val="Compact"/>
      </w:pPr>
      <w:hyperlink r:id="rId40">
        <w:r>
          <w:rPr>
            <w:rStyle w:val="Hyperlink"/>
          </w:rPr>
          <w:t xml:space="preserve">𝕏 post by</w:t>
        </w:r>
        <w:r>
          <w:rPr>
            <w:rStyle w:val="Hyperlink"/>
          </w:rPr>
          <w:t xml:space="preserve"> </w:t>
        </w:r>
        <w:r>
          <w:rPr>
            <w:rStyle w:val="Hyperlink"/>
          </w:rPr>
          <w:t xml:space="preserve">@cyb3rops</w:t>
        </w:r>
      </w:hyperlink>
    </w:p>
    <w:p>
      <w:pPr>
        <w:numPr>
          <w:ilvl w:val="0"/>
          <w:numId w:val="1002"/>
        </w:numPr>
        <w:pStyle w:val="Compact"/>
      </w:pPr>
      <w:hyperlink r:id="rId41">
        <w:r>
          <w:rPr>
            <w:rStyle w:val="Hyperlink"/>
          </w:rPr>
          <w:t xml:space="preserve">𝕏 post by</w:t>
        </w:r>
        <w:r>
          <w:rPr>
            <w:rStyle w:val="Hyperlink"/>
          </w:rPr>
          <w:t xml:space="preserve"> </w:t>
        </w:r>
        <w:r>
          <w:rPr>
            <w:rStyle w:val="Hyperlink"/>
          </w:rPr>
          <w:t xml:space="preserve">@TokenGremlin</w:t>
        </w:r>
      </w:hyperlink>
    </w:p>
    <w:p>
      <w:pPr>
        <w:numPr>
          <w:ilvl w:val="0"/>
          <w:numId w:val="1002"/>
        </w:numPr>
        <w:pStyle w:val="Compact"/>
      </w:pPr>
      <w:hyperlink r:id="rId42">
        <w:r>
          <w:rPr>
            <w:rStyle w:val="Hyperlink"/>
          </w:rPr>
          <w:t xml:space="preserve">𝕏 post by</w:t>
        </w:r>
        <w:r>
          <w:rPr>
            <w:rStyle w:val="Hyperlink"/>
          </w:rPr>
          <w:t xml:space="preserve"> </w:t>
        </w:r>
        <w:r>
          <w:rPr>
            <w:rStyle w:val="Hyperlink"/>
          </w:rPr>
          <w:t xml:space="preserve">@llama_index</w:t>
        </w:r>
      </w:hyperlink>
    </w:p>
    <w:bookmarkEnd w:id="43"/>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6" Target="https://x.com/Alibaba_Qwen/status/2088280182356611304" TargetMode="External" /><Relationship Type="http://schemas.openxmlformats.org/officeDocument/2006/relationships/hyperlink" Id="rId39" Target="https://x.com/AnthropicAI/status/2088343978873966687" TargetMode="External" /><Relationship Type="http://schemas.openxmlformats.org/officeDocument/2006/relationships/hyperlink" Id="rId27" Target="https://x.com/ArtificialAnlys/status/2088440350734201149" TargetMode="External" /><Relationship Type="http://schemas.openxmlformats.org/officeDocument/2006/relationships/hyperlink" Id="rId37" Target="https://x.com/METR_Evals/status/2088403778727031062" TargetMode="External" /><Relationship Type="http://schemas.openxmlformats.org/officeDocument/2006/relationships/hyperlink" Id="rId38" Target="https://x.com/METR_Evals/status/2088403782690623558" TargetMode="External" /><Relationship Type="http://schemas.openxmlformats.org/officeDocument/2006/relationships/hyperlink" Id="rId41" Target="https://x.com/TokenGremlin/status/2088430737531846756" TargetMode="External" /><Relationship Type="http://schemas.openxmlformats.org/officeDocument/2006/relationships/hyperlink" Id="rId36" Target="https://x.com/cursor_ai/status/2088249881718919393" TargetMode="External" /><Relationship Type="http://schemas.openxmlformats.org/officeDocument/2006/relationships/hyperlink" Id="rId40" Target="https://x.com/cyb3rops/status/2087967157757857949" TargetMode="External" /><Relationship Type="http://schemas.openxmlformats.org/officeDocument/2006/relationships/hyperlink" Id="rId32" Target="https://x.com/dair_ai/status/2088354997176320491" TargetMode="External" /><Relationship Type="http://schemas.openxmlformats.org/officeDocument/2006/relationships/hyperlink" Id="rId33" Target="https://x.com/deepseek_ai/status/2087887408440164663" TargetMode="External" /><Relationship Type="http://schemas.openxmlformats.org/officeDocument/2006/relationships/hyperlink" Id="rId28" Target="https://x.com/i/article/2088262763327971328" TargetMode="External" /><Relationship Type="http://schemas.openxmlformats.org/officeDocument/2006/relationships/hyperlink" Id="rId30" Target="https://x.com/inherent_labs/status/2088290794092298655" TargetMode="External" /><Relationship Type="http://schemas.openxmlformats.org/officeDocument/2006/relationships/hyperlink" Id="rId25" Target="https://x.com/kimmonismus/status/2088162566719639717" TargetMode="External" /><Relationship Type="http://schemas.openxmlformats.org/officeDocument/2006/relationships/hyperlink" Id="rId35" Target="https://x.com/kimmonismus/status/2088251938924028379" TargetMode="External" /><Relationship Type="http://schemas.openxmlformats.org/officeDocument/2006/relationships/hyperlink" Id="rId42" Target="https://x.com/llama_index/status/2087903295037669869" TargetMode="External" /><Relationship Type="http://schemas.openxmlformats.org/officeDocument/2006/relationships/hyperlink" Id="rId31" Target="https://x.com/omarsar0/status/2088309745740591429" TargetMode="External" /><Relationship Type="http://schemas.openxmlformats.org/officeDocument/2006/relationships/hyperlink" Id="rId34" Target="https://x.com/perplexitydevs/status/2088309782507843949" TargetMode="External" /><Relationship Type="http://schemas.openxmlformats.org/officeDocument/2006/relationships/hyperlink" Id="rId29" Target="https://x.com/vllm_project/status/2088287539979559068" TargetMode="External" /></Relationships>
</file>

<file path=word/_rels/footnotes.xml.rels><?xml version="1.0" encoding="UTF-8"?><Relationships xmlns="http://schemas.openxmlformats.org/package/2006/relationships"><Relationship Type="http://schemas.openxmlformats.org/officeDocument/2006/relationships/hyperlink" Id="rId26" Target="https://x.com/Alibaba_Qwen/status/2088280182356611304" TargetMode="External" /><Relationship Type="http://schemas.openxmlformats.org/officeDocument/2006/relationships/hyperlink" Id="rId39" Target="https://x.com/AnthropicAI/status/2088343978873966687" TargetMode="External" /><Relationship Type="http://schemas.openxmlformats.org/officeDocument/2006/relationships/hyperlink" Id="rId27" Target="https://x.com/ArtificialAnlys/status/2088440350734201149" TargetMode="External" /><Relationship Type="http://schemas.openxmlformats.org/officeDocument/2006/relationships/hyperlink" Id="rId37" Target="https://x.com/METR_Evals/status/2088403778727031062" TargetMode="External" /><Relationship Type="http://schemas.openxmlformats.org/officeDocument/2006/relationships/hyperlink" Id="rId38" Target="https://x.com/METR_Evals/status/2088403782690623558" TargetMode="External" /><Relationship Type="http://schemas.openxmlformats.org/officeDocument/2006/relationships/hyperlink" Id="rId41" Target="https://x.com/TokenGremlin/status/2088430737531846756" TargetMode="External" /><Relationship Type="http://schemas.openxmlformats.org/officeDocument/2006/relationships/hyperlink" Id="rId36" Target="https://x.com/cursor_ai/status/2088249881718919393" TargetMode="External" /><Relationship Type="http://schemas.openxmlformats.org/officeDocument/2006/relationships/hyperlink" Id="rId40" Target="https://x.com/cyb3rops/status/2087967157757857949" TargetMode="External" /><Relationship Type="http://schemas.openxmlformats.org/officeDocument/2006/relationships/hyperlink" Id="rId32" Target="https://x.com/dair_ai/status/2088354997176320491" TargetMode="External" /><Relationship Type="http://schemas.openxmlformats.org/officeDocument/2006/relationships/hyperlink" Id="rId33" Target="https://x.com/deepseek_ai/status/2087887408440164663" TargetMode="External" /><Relationship Type="http://schemas.openxmlformats.org/officeDocument/2006/relationships/hyperlink" Id="rId28" Target="https://x.com/i/article/2088262763327971328" TargetMode="External" /><Relationship Type="http://schemas.openxmlformats.org/officeDocument/2006/relationships/hyperlink" Id="rId30" Target="https://x.com/inherent_labs/status/2088290794092298655" TargetMode="External" /><Relationship Type="http://schemas.openxmlformats.org/officeDocument/2006/relationships/hyperlink" Id="rId25" Target="https://x.com/kimmonismus/status/2088162566719639717" TargetMode="External" /><Relationship Type="http://schemas.openxmlformats.org/officeDocument/2006/relationships/hyperlink" Id="rId35" Target="https://x.com/kimmonismus/status/2088251938924028379" TargetMode="External" /><Relationship Type="http://schemas.openxmlformats.org/officeDocument/2006/relationships/hyperlink" Id="rId42" Target="https://x.com/llama_index/status/2087903295037669869" TargetMode="External" /><Relationship Type="http://schemas.openxmlformats.org/officeDocument/2006/relationships/hyperlink" Id="rId31" Target="https://x.com/omarsar0/status/2088309745740591429" TargetMode="External" /><Relationship Type="http://schemas.openxmlformats.org/officeDocument/2006/relationships/hyperlink" Id="rId34" Target="https://x.com/perplexitydevs/status/2088309782507843949" TargetMode="External" /><Relationship Type="http://schemas.openxmlformats.org/officeDocument/2006/relationships/hyperlink" Id="rId29" Target="https://x.com/vllm_project/status/208828753997955906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Models Push Capability Into Post-Training, Local Hardware, and Lower-Cost Agents</dc:title>
  <dc:creator>AI High Signal Digest</dc:creator>
  <cp:keywords/>
  <dcterms:created xsi:type="dcterms:W3CDTF">2026-08-15T09:53:04Z</dcterms:created>
  <dcterms:modified xsi:type="dcterms:W3CDTF">2026-08-15T09:53:04Z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2026-08-15</vt:lpwstr>
  </property>
</Properties>
</file>