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 Models Turn Cost and Harnesses Into the AI Battleground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2026-08-23</w:t>
      </w:r>
    </w:p>
    <w:bookmarkStart w:id="44" w:name="X4b593166876bcc8db70525f1cdd9de503a78a0d"/>
    <w:p>
      <w:pPr>
        <w:pStyle w:val="Heading1"/>
      </w:pPr>
      <w:r>
        <w:t xml:space="preserve">Open Models Turn Cost and Harnesses Into the AI Battleground</w:t>
      </w:r>
    </w:p>
    <w:p>
      <w:pPr>
        <w:pStyle w:val="FirstParagraph"/>
      </w:pPr>
      <w:r>
        <w:rPr>
          <w:iCs/>
          <w:i/>
        </w:rPr>
        <w:t xml:space="preserve">By AI High Signal Digest • August 23, 2026</w:t>
      </w:r>
    </w:p>
    <w:p>
      <w:pPr>
        <w:pStyle w:val="BodyText"/>
      </w:pPr>
      <w:r>
        <w:t xml:space="preserve">A concise read on GLM-5.3’s cost-adjusted coding signal, the rise of harness-centric agent stacks, and the corporate moves following them.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The AI race is shifting from peak scores to cost-adjusted capability and the systems that make agents reliable.</w:t>
      </w:r>
    </w:p>
    <w:p>
      <w:pPr>
        <w:pStyle w:val="BodyText"/>
      </w:pPr>
      <w:r>
        <w:rPr>
          <w:bCs/>
          <w:b/>
        </w:rPr>
        <w:t xml:space="preserve">Open models are winning a cost-and-adoption test.</w:t>
      </w:r>
      <w:r>
        <w:t xml:space="preserve"> </w:t>
      </w:r>
      <w:r>
        <w:t xml:space="preserve">Together Compute reports four tries with GLM-5.3 on DeepSWE reaching 87.6% for about $16, versus Fable 5 at 69.7% for $21.63. A separate breakdown puts the models near parity—69.0% versus 69.7%—at $3.99 versus $21 per task, with GLM-5.3 using 80k versus 114k tokens. [1, 2] This is one benchmark, not a universal ranking, but Vercel AI Gateway says open-weight models supplied 62% of tokens on Aug. 22, up from 28.4% on June 24; Vercel also says enterprise adoption and model-agnostic tooling remain early. [3] Portability and unit economics are becoming first-order competitive variables.</w:t>
      </w:r>
    </w:p>
    <w:p>
      <w:pPr>
        <w:pStyle w:val="BodyText"/>
      </w:pPr>
      <w:r>
        <w:rPr>
          <w:bCs/>
          <w:b/>
        </w:rPr>
        <w:t xml:space="preserve">Harnesses are becoming part of the product.</w:t>
      </w:r>
      <w:r>
        <w:t xml:space="preserve"> </w:t>
      </w:r>
      <w:r>
        <w:t xml:space="preserve">A monitored analysis of Pi’s development notes says Claude models sometimes invent parameters for Pi’s edit tool, suggesting that post-training is increasingly coupled to Claude Code’s harness and schema; it frames Claude+Claude Code, DeepSeek+DSH, and GPT+Codex as emerging whole systems. [4] Pi’s</w:t>
      </w:r>
      <w:r>
        <w:t xml:space="preserve"> </w:t>
      </w:r>
      <w:r>
        <w:t xml:space="preserve">“</w:t>
      </w:r>
      <w:r>
        <w:t xml:space="preserve">prune + spill</w:t>
      </w:r>
      <w:r>
        <w:t xml:space="preserve">”</w:t>
      </w:r>
      <w:r>
        <w:t xml:space="preserve"> </w:t>
      </w:r>
      <w:r>
        <w:t xml:space="preserve">approach stores full tool results on disk while keeping only a slice in context; across 19 sessions it reports 26–35% lower context use and 72–88% lower uncached prefill, with information recoverable. [4]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New work is testing whether agents complete real state-changing work and training tool use earlier instead of assuming post-training will fix it.</w:t>
      </w:r>
    </w:p>
    <w:p>
      <w:pPr>
        <w:pStyle w:val="BodyText"/>
      </w:pPr>
      <w:r>
        <w:rPr>
          <w:bCs/>
          <w:b/>
        </w:rPr>
        <w:t xml:space="preserve">Thinkingbox makes reliability an end-state test.</w:t>
      </w:r>
      <w:r>
        <w:t xml:space="preserve"> </w:t>
      </w:r>
      <w:r>
        <w:t xml:space="preserve">Microsoft’s paper introduces an MCP-compatible sandbox and 507 policy-conditioned workflows spanning retail, hospitality, auto insurance, neobank IT, and consulting support. It grades executable backend state and rejects wrong, missing, or extra effects; the strongest model reached 65.36% pass@1 but only 25.25% pass^20, while many failed runs looked clean at the response or tool-call level. [5]</w:t>
      </w:r>
    </w:p>
    <w:p>
      <w:pPr>
        <w:pStyle w:val="BodyText"/>
      </w:pPr>
      <w:r>
        <w:rPr>
          <w:bCs/>
          <w:b/>
        </w:rPr>
        <w:t xml:space="preserve">MidTool moves tool use into mid-training.</w:t>
      </w:r>
      <w:r>
        <w:t xml:space="preserve"> </w:t>
      </w:r>
      <w:r>
        <w:t xml:space="preserve">Snowflake’s corpus combines web, PDF, and code data with API, MCP, and document-grounded supervision; it was used to mid-train Qwen3-4B and Qwen3-8B. [6] In the reported results, 4B BFCL rose from 39.51% to 54.18% after RL and τ²-Bench pass@1 from 13.04% to 19.96%, but every model scored 0% on MCP-Universe’s web-search subset. [7] Tool familiarity improves function calling without automatically solving long-horizon research.</w:t>
      </w:r>
    </w:p>
    <w:p>
      <w:pPr>
        <w:pStyle w:val="BodyText"/>
      </w:pPr>
      <w:r>
        <w:rPr>
          <w:bCs/>
          <w:b/>
        </w:rPr>
        <w:t xml:space="preserve">Matryoshka nests model sizes in one suite.</w:t>
      </w:r>
      <w:r>
        <w:t xml:space="preserve"> </w:t>
      </w:r>
      <w:r>
        <w:t xml:space="preserve">Cornell researchers stack 500M, 1.5B, and 3B submodels in one end-to-end architecture; the paper reports parity with independently trained baselines, 36% less training compute, and 14–26% faster speculative-decoding throughput. [8, 9]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AI interfaces are expanding from single-user generation toward controllable, collaborative workflows.</w:t>
      </w:r>
    </w:p>
    <w:p>
      <w:pPr>
        <w:pStyle w:val="BodyText"/>
      </w:pPr>
      <w:r>
        <w:rPr>
          <w:bCs/>
          <w:b/>
        </w:rPr>
        <w:t xml:space="preserve">Krea’s Seedance Studio</w:t>
      </w:r>
      <w:r>
        <w:t xml:space="preserve"> </w:t>
      </w:r>
      <w:r>
        <w:t xml:space="preserve">uses Seedance 2.5 and new 3D scene controls to take a project from character design to final cinematic footage in one workflow, according to a current creator demonstration. [10]</w:t>
      </w:r>
    </w:p>
    <w:p>
      <w:pPr>
        <w:pStyle w:val="BodyText"/>
      </w:pPr>
      <w:r>
        <w:rPr>
          <w:bCs/>
          <w:b/>
        </w:rPr>
        <w:t xml:space="preserve">ChatGPT may be adding a social layer.</w:t>
      </w:r>
      <w:r>
        <w:t xml:space="preserve"> </w:t>
      </w:r>
      <w:r>
        <w:t xml:space="preserve">Strings in the latest Android app mention</w:t>
      </w:r>
      <w:r>
        <w:t xml:space="preserve"> </w:t>
      </w:r>
      <w:r>
        <w:t xml:space="preserve">“</w:t>
      </w:r>
      <w:r>
        <w:t xml:space="preserve">ChatGPT with Friends</w:t>
      </w:r>
      <w:r>
        <w:t xml:space="preserve">”</w:t>
      </w:r>
      <w:r>
        <w:t xml:space="preserve"> </w:t>
      </w:r>
      <w:r>
        <w:t xml:space="preserve">for sharing responses, images, and creations, plus private side chats; the observer presents it as a possible next iteration of group chats, not a confirmed release. [11]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Corporate strategy is increasingly framed around open ecosystems, model ownership, and repeat enterprise usage—not just model releases.</w:t>
      </w:r>
    </w:p>
    <w:p>
      <w:pPr>
        <w:pStyle w:val="BodyText"/>
      </w:pPr>
      <w:r>
        <w:rPr>
          <w:bCs/>
          <w:b/>
        </w:rPr>
        <w:t xml:space="preserve">Anthropic’s IPO expectations are escalating, but the report is prospective.</w:t>
      </w:r>
      <w:r>
        <w:t xml:space="preserve"> </w:t>
      </w:r>
      <w:r>
        <w:t xml:space="preserve">A current account says the company’s bankers are telling potential investors it may raise more than $100 billion at a $2 trillion valuation, which would make it the largest IPO ever. [12]</w:t>
      </w:r>
    </w:p>
    <w:p>
      <w:pPr>
        <w:pStyle w:val="BodyText"/>
      </w:pPr>
      <w:r>
        <w:rPr>
          <w:bCs/>
          <w:b/>
        </w:rPr>
        <w:t xml:space="preserve">Poolside is being positioned as an open-model US ecosystem play.</w:t>
      </w:r>
      <w:r>
        <w:t xml:space="preserve"> </w:t>
      </w:r>
      <w:r>
        <w:t xml:space="preserve">The Wall Street Journal reports a sweeping agreement intended to build an open AI ecosystem that can compete with Chinese heavyweights and American AI giants; Ollama says it collaborated with Poolside engineers on open models and points to NVIDIA’s Nemotron work. [13, 14]</w:t>
      </w:r>
    </w:p>
    <w:p>
      <w:pPr>
        <w:pStyle w:val="BodyText"/>
      </w:pPr>
      <w:r>
        <w:rPr>
          <w:bCs/>
          <w:b/>
        </w:rPr>
        <w:t xml:space="preserve">Runway is packaging video generation as an enterprise operating layer.</w:t>
      </w:r>
      <w:r>
        <w:t xml:space="preserve"> </w:t>
      </w:r>
      <w:r>
        <w:t xml:space="preserve">Its company announcement says the business more than doubled this year and NRR exceeded 300%; its roadmap includes day-one access to third-party models, a media model router, Runway Agent, and customer-hosted model licensing. These are company-reported figures and plans. [15]</w:t>
      </w:r>
    </w:p>
    <w:bookmarkEnd w:id="23"/>
    <w:bookmarkStart w:id="43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Physical AI and agent tooling are moving from isolated demos toward repeatable systems.</w:t>
      </w:r>
    </w:p>
    <w:p>
      <w:pPr>
        <w:numPr>
          <w:ilvl w:val="0"/>
          <w:numId w:val="1001"/>
        </w:numPr>
        <w:pStyle w:val="Compact"/>
      </w:pPr>
      <w:r>
        <w:t xml:space="preserve">NVIDIA says its coding harness solved all 183 levels across ARC-AGI-3’s 25 public games. [16]</w:t>
      </w:r>
    </w:p>
    <w:p>
      <w:pPr>
        <w:numPr>
          <w:ilvl w:val="0"/>
          <w:numId w:val="1001"/>
        </w:numPr>
        <w:pStyle w:val="Compact"/>
      </w:pPr>
      <w:r>
        <w:t xml:space="preserve">The 2026 World Humanoid Robot Games opened with 666 teams and more than 2,000 humanoid robots. [17]</w:t>
      </w:r>
    </w:p>
    <w:p>
      <w:pPr>
        <w:numPr>
          <w:ilvl w:val="0"/>
          <w:numId w:val="1001"/>
        </w:numPr>
        <w:pStyle w:val="Compact"/>
      </w:pPr>
      <w:r>
        <w:t xml:space="preserve">Jerry Liu’s market framing: SaaS is not dead, but it must be repurposed and remonetized for agent consumption. [18]</w:t>
      </w:r>
    </w:p>
    <w:p>
      <w:r>
        <w:pict>
          <v:rect style="width:0;height:1.5pt" o:hralign="center" o:hrstd="t" o:hr="t"/>
        </w:pict>
      </w:r>
    </w:p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@zainhas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@rauchg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@MaxForAI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One Success Isn’t Reliability: Thinkingbox, a Sandbox and Benchmark for Agents in Stateful Business Workflows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MidTool: Mid-training Data Synthesis for Agentic Tool Use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Matryoshka Language Model Suites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@nAI_station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@btibor91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@AndrewCurran_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@WSJ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@ollama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The Next Phase of Enterprise Video Generation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@business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2" Target="https://arxiv.org/abs/2608.09703" TargetMode="External" /><Relationship Type="http://schemas.openxmlformats.org/officeDocument/2006/relationships/hyperlink" Id="rId28" Target="https://arxiv.org/abs/2608.19741" TargetMode="External" /><Relationship Type="http://schemas.openxmlformats.org/officeDocument/2006/relationships/hyperlink" Id="rId29" Target="https://arxiv.org/abs/2608.20314v1" TargetMode="External" /><Relationship Type="http://schemas.openxmlformats.org/officeDocument/2006/relationships/hyperlink" Id="rId38" Target="https://runway.com/news/company-news/the-next-phase-of-enterprise-video-generation" TargetMode="External" /><Relationship Type="http://schemas.openxmlformats.org/officeDocument/2006/relationships/hyperlink" Id="rId35" Target="https://x.com/AndrewCurran_/status/2091294235802906826" TargetMode="External" /><Relationship Type="http://schemas.openxmlformats.org/officeDocument/2006/relationships/hyperlink" Id="rId39" Target="https://x.com/ClementDelangue/status/2091273855415492806" TargetMode="External" /><Relationship Type="http://schemas.openxmlformats.org/officeDocument/2006/relationships/hyperlink" Id="rId27" Target="https://x.com/MaxForAI/status/2091056022551187579" TargetMode="External" /><Relationship Type="http://schemas.openxmlformats.org/officeDocument/2006/relationships/hyperlink" Id="rId31" Target="https://x.com/TheTuringPost/status/2091149594998808594" TargetMode="External" /><Relationship Type="http://schemas.openxmlformats.org/officeDocument/2006/relationships/hyperlink" Id="rId30" Target="https://x.com/TheTuringPost/status/2091353406971785244" TargetMode="External" /><Relationship Type="http://schemas.openxmlformats.org/officeDocument/2006/relationships/hyperlink" Id="rId36" Target="https://x.com/WSJ/status/2091315156466663843" TargetMode="External" /><Relationship Type="http://schemas.openxmlformats.org/officeDocument/2006/relationships/hyperlink" Id="rId34" Target="https://x.com/btibor91/status/2091154632714358793" TargetMode="External" /><Relationship Type="http://schemas.openxmlformats.org/officeDocument/2006/relationships/hyperlink" Id="rId40" Target="https://x.com/business/status/2091245788592488804" TargetMode="External" /><Relationship Type="http://schemas.openxmlformats.org/officeDocument/2006/relationships/hyperlink" Id="rId41" Target="https://x.com/jerryjliu0/status/2091304764839768522" TargetMode="External" /><Relationship Type="http://schemas.openxmlformats.org/officeDocument/2006/relationships/hyperlink" Id="rId33" Target="https://x.com/nAI_station/status/2091128133865120199" TargetMode="External" /><Relationship Type="http://schemas.openxmlformats.org/officeDocument/2006/relationships/hyperlink" Id="rId37" Target="https://x.com/ollama/status/2091344612980060304" TargetMode="External" /><Relationship Type="http://schemas.openxmlformats.org/officeDocument/2006/relationships/hyperlink" Id="rId26" Target="https://x.com/rauchg/status/2091234105702887879" TargetMode="External" /><Relationship Type="http://schemas.openxmlformats.org/officeDocument/2006/relationships/hyperlink" Id="rId24" Target="https://x.com/togethercompute/status/2091361283459223731" TargetMode="External" /><Relationship Type="http://schemas.openxmlformats.org/officeDocument/2006/relationships/hyperlink" Id="rId25" Target="https://x.com/zainhas/status/20912975263476777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s://arxiv.org/abs/2608.09703" TargetMode="External" /><Relationship Type="http://schemas.openxmlformats.org/officeDocument/2006/relationships/hyperlink" Id="rId28" Target="https://arxiv.org/abs/2608.19741" TargetMode="External" /><Relationship Type="http://schemas.openxmlformats.org/officeDocument/2006/relationships/hyperlink" Id="rId29" Target="https://arxiv.org/abs/2608.20314v1" TargetMode="External" /><Relationship Type="http://schemas.openxmlformats.org/officeDocument/2006/relationships/hyperlink" Id="rId38" Target="https://runway.com/news/company-news/the-next-phase-of-enterprise-video-generation" TargetMode="External" /><Relationship Type="http://schemas.openxmlformats.org/officeDocument/2006/relationships/hyperlink" Id="rId35" Target="https://x.com/AndrewCurran_/status/2091294235802906826" TargetMode="External" /><Relationship Type="http://schemas.openxmlformats.org/officeDocument/2006/relationships/hyperlink" Id="rId39" Target="https://x.com/ClementDelangue/status/2091273855415492806" TargetMode="External" /><Relationship Type="http://schemas.openxmlformats.org/officeDocument/2006/relationships/hyperlink" Id="rId27" Target="https://x.com/MaxForAI/status/2091056022551187579" TargetMode="External" /><Relationship Type="http://schemas.openxmlformats.org/officeDocument/2006/relationships/hyperlink" Id="rId31" Target="https://x.com/TheTuringPost/status/2091149594998808594" TargetMode="External" /><Relationship Type="http://schemas.openxmlformats.org/officeDocument/2006/relationships/hyperlink" Id="rId30" Target="https://x.com/TheTuringPost/status/2091353406971785244" TargetMode="External" /><Relationship Type="http://schemas.openxmlformats.org/officeDocument/2006/relationships/hyperlink" Id="rId36" Target="https://x.com/WSJ/status/2091315156466663843" TargetMode="External" /><Relationship Type="http://schemas.openxmlformats.org/officeDocument/2006/relationships/hyperlink" Id="rId34" Target="https://x.com/btibor91/status/2091154632714358793" TargetMode="External" /><Relationship Type="http://schemas.openxmlformats.org/officeDocument/2006/relationships/hyperlink" Id="rId40" Target="https://x.com/business/status/2091245788592488804" TargetMode="External" /><Relationship Type="http://schemas.openxmlformats.org/officeDocument/2006/relationships/hyperlink" Id="rId41" Target="https://x.com/jerryjliu0/status/2091304764839768522" TargetMode="External" /><Relationship Type="http://schemas.openxmlformats.org/officeDocument/2006/relationships/hyperlink" Id="rId33" Target="https://x.com/nAI_station/status/2091128133865120199" TargetMode="External" /><Relationship Type="http://schemas.openxmlformats.org/officeDocument/2006/relationships/hyperlink" Id="rId37" Target="https://x.com/ollama/status/2091344612980060304" TargetMode="External" /><Relationship Type="http://schemas.openxmlformats.org/officeDocument/2006/relationships/hyperlink" Id="rId26" Target="https://x.com/rauchg/status/2091234105702887879" TargetMode="External" /><Relationship Type="http://schemas.openxmlformats.org/officeDocument/2006/relationships/hyperlink" Id="rId24" Target="https://x.com/togethercompute/status/2091361283459223731" TargetMode="External" /><Relationship Type="http://schemas.openxmlformats.org/officeDocument/2006/relationships/hyperlink" Id="rId25" Target="https://x.com/zainhas/status/20912975263476777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Models Turn Cost and Harnesses Into the AI Battleground</dc:title>
  <dc:creator>AI High Signal Digest</dc:creator>
  <cp:keywords/>
  <dcterms:created xsi:type="dcterms:W3CDTF">2026-08-23T22:16:34Z</dcterms:created>
  <dcterms:modified xsi:type="dcterms:W3CDTF">2026-08-23T22:16:34Z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2026-08-23</vt:lpwstr>
  </property>
</Properties>
</file>