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Open-Weight Competition Grows as Kimi Hits Capacity Limits</w:t>
      </w:r>
    </w:p>
    <w:p>
      <w:pPr>
        <w:pStyle w:val="Author"/>
      </w:pPr>
      <w:r>
        <w:t xml:space="preserve">AI News Digest</w:t>
      </w:r>
    </w:p>
    <w:p>
      <w:pPr>
        <w:pStyle w:val="Date"/>
      </w:pPr>
      <w:r>
        <w:t xml:space="preserve">2026-07-20</w:t>
      </w:r>
    </w:p>
    <w:bookmarkStart w:id="42" w:name="Xfd66846791f905b82e416ed7523684409642855"/>
    <w:p>
      <w:pPr>
        <w:pStyle w:val="Heading1"/>
      </w:pPr>
      <w:r>
        <w:t xml:space="preserve">Open-Weight Competition Grows as Kimi Hits Capacity Limits</w:t>
      </w:r>
    </w:p>
    <w:p>
      <w:pPr>
        <w:pStyle w:val="FirstParagraph"/>
      </w:pPr>
      <w:r>
        <w:rPr>
          <w:iCs/>
          <w:i/>
        </w:rPr>
        <w:t xml:space="preserve">By AI News Digest • July 20, 2026</w:t>
      </w:r>
    </w:p>
    <w:p>
      <w:pPr>
        <w:pStyle w:val="BodyText"/>
      </w:pPr>
      <w:r>
        <w:t xml:space="preserve">Alibaba’s planned open-weight Qwen3.8 release leads a day centered on access and competition, while Kimi K3’s capacity pause highlights the operational cost of demand. New coding and mathematics results add capability signals, alongside expert reminders about real-world reliability.</w:t>
      </w:r>
    </w:p>
    <w:bookmarkStart w:id="21" w:name="Xd21755ba18630c6e4ae2ca256e38545372c6f54"/>
    <w:p>
      <w:pPr>
        <w:pStyle w:val="Heading2"/>
      </w:pPr>
      <w:r>
        <w:t xml:space="preserve">Qwen plans a 2.4T-parameter open-weight release</w:t>
      </w:r>
    </w:p>
    <w:bookmarkStart w:id="20" w:name="X60ff126153d807dd5033b7ebcca993108b3d931"/>
    <w:p>
      <w:pPr>
        <w:pStyle w:val="Heading3"/>
      </w:pPr>
      <w:r>
        <w:t xml:space="preserve">Alibaba previews a frontier-scale model while reopening the open-weight question</w:t>
      </w:r>
    </w:p>
    <w:p>
      <w:pPr>
        <w:pStyle w:val="FirstParagraph"/>
      </w:pPr>
      <w:r>
        <w:t xml:space="preserve">Alibaba’s Qwen team says</w:t>
      </w:r>
      <w:r>
        <w:t xml:space="preserve"> </w:t>
      </w:r>
      <w:r>
        <w:rPr>
          <w:bCs/>
          <w:b/>
        </w:rPr>
        <w:t xml:space="preserve">Qwen3.8</w:t>
      </w:r>
      <w:r>
        <w:t xml:space="preserve">, a 2.4-trillion-parameter model, is launching and will become open-weight soon; it characterizes the model as second only to Fable 5 among currently available systems. Qwen3.8-Max-Preview is already available through Token Plan, Qoder, and QoderWork. [1]</w:t>
      </w:r>
    </w:p>
    <w:p>
      <w:pPr>
        <w:pStyle w:val="BodyText"/>
      </w:pPr>
      <w:r>
        <w:t xml:space="preserve">Nathan Lambert noted that Qwen’s largest recent models had not been open-weight, framing the announcement as a potential change in the competitive landscape—conditional on the benchmarks holding up. [2]</w:t>
      </w:r>
    </w:p>
    <w:p>
      <w:pPr>
        <w:pStyle w:val="BodyText"/>
      </w:pPr>
      <w:r>
        <w:rPr>
          <w:iCs/>
          <w:i/>
        </w:rPr>
        <w:t xml:space="preserve">Why it matters:</w:t>
      </w:r>
      <w:r>
        <w:t xml:space="preserve"> </w:t>
      </w:r>
      <w:r>
        <w:t xml:space="preserve">If delivered as described, an open-weight model at this scale would be a meaningful development in access to frontier-class systems.</w:t>
      </w:r>
    </w:p>
    <w:bookmarkEnd w:id="20"/>
    <w:bookmarkEnd w:id="21"/>
    <w:bookmarkStart w:id="23" w:name="X4016853b6c6e137177e8712440bda00072dec08"/>
    <w:p>
      <w:pPr>
        <w:pStyle w:val="Heading2"/>
      </w:pPr>
      <w:r>
        <w:t xml:space="preserve">Kimi K3 demand forces a temporary subscription pause</w:t>
      </w:r>
    </w:p>
    <w:bookmarkStart w:id="22" w:name="X82c8d4b3317b2c97dd568fc0714d60e09f60835"/>
    <w:p>
      <w:pPr>
        <w:pStyle w:val="Heading3"/>
      </w:pPr>
      <w:r>
        <w:t xml:space="preserve">Moonshot prioritizes existing subscribers as it adds capacity</w:t>
      </w:r>
    </w:p>
    <w:p>
      <w:pPr>
        <w:pStyle w:val="FirstParagraph"/>
      </w:pPr>
      <w:r>
        <w:t xml:space="preserve">Moonshot AI says demand for Kimi K3 pushed close to its available GPU capacity over 48 hours, so it has temporarily stopped taking new subscriptions while reserving compute for current members. Existing subscribers are unaffected, according to the company. [3]</w:t>
      </w:r>
    </w:p>
    <w:p>
      <w:pPr>
        <w:pStyle w:val="BodyText"/>
      </w:pPr>
      <w:r>
        <w:t xml:space="preserve">The company also plans to split its offering into a general Kimi Membership for web, app, and work products, and a separate Kimi Code Membership for coding workflows, saying this will help it allocate compute more precisely. [3]</w:t>
      </w:r>
    </w:p>
    <w:p>
      <w:pPr>
        <w:pStyle w:val="BodyText"/>
      </w:pPr>
      <w:r>
        <w:rPr>
          <w:iCs/>
          <w:i/>
        </w:rPr>
        <w:t xml:space="preserve">Why it matters:</w:t>
      </w:r>
      <w:r>
        <w:t xml:space="preserve"> </w:t>
      </w:r>
      <w:r>
        <w:t xml:space="preserve">The move is a concrete signal that serving demand—not only training or benchmark performance—remains a constraint for popular AI products.</w:t>
      </w:r>
    </w:p>
    <w:bookmarkEnd w:id="22"/>
    <w:bookmarkEnd w:id="23"/>
    <w:bookmarkStart w:id="25" w:name="Xd319ec633092f27a6cd73e00d1bb4e9b823bb8e"/>
    <w:p>
      <w:pPr>
        <w:pStyle w:val="Heading2"/>
      </w:pPr>
      <w:r>
        <w:t xml:space="preserve">New model results span coding and mathematics</w:t>
      </w:r>
    </w:p>
    <w:bookmarkStart w:id="24" w:name="X0cd63c343a78fcbc0d6370fe28279d1fb91d1ae"/>
    <w:p>
      <w:pPr>
        <w:pStyle w:val="Heading3"/>
      </w:pPr>
      <w:r>
        <w:t xml:space="preserve">Grok leads a coding benchmark; GPT-5.6 Sol draws proof-review praise</w:t>
      </w:r>
    </w:p>
    <w:p>
      <w:pPr>
        <w:pStyle w:val="FirstParagraph"/>
      </w:pPr>
      <w:r>
        <w:t xml:space="preserve">A VulcanBench post reports that</w:t>
      </w:r>
      <w:r>
        <w:t xml:space="preserve"> </w:t>
      </w:r>
      <w:r>
        <w:rPr>
          <w:bCs/>
          <w:b/>
        </w:rPr>
        <w:t xml:space="preserve">Grok 4.5</w:t>
      </w:r>
      <w:r>
        <w:t xml:space="preserve"> </w:t>
      </w:r>
      <w:r>
        <w:t xml:space="preserve">scored 91.3%, completing 21 of 23 real-world software tasks across five languages, and placed ahead of Claude Fable 5 and GPT-5.6 Sol on that benchmark. [4]</w:t>
      </w:r>
    </w:p>
    <w:p>
      <w:pPr>
        <w:pStyle w:val="BodyText"/>
      </w:pPr>
      <w:r>
        <w:t xml:space="preserve">Separately, mathematician Thomas Bloom said the GPT-5.6 Sol proof claims he had reviewed on erdosproblems.com were correct and contained interesting ideas. Greg Brockman called the development a potential</w:t>
      </w:r>
      <w:r>
        <w:t xml:space="preserve"> </w:t>
      </w:r>
      <w:r>
        <w:t xml:space="preserve">“</w:t>
      </w:r>
      <w:r>
        <w:t xml:space="preserve">watershed moment for advancing mathematics.</w:t>
      </w:r>
      <w:r>
        <w:t xml:space="preserve">”</w:t>
      </w:r>
      <w:r>
        <w:t xml:space="preserve"> </w:t>
      </w:r>
      <w:r>
        <w:t xml:space="preserve">[5, 6]</w:t>
      </w:r>
    </w:p>
    <w:p>
      <w:pPr>
        <w:pStyle w:val="BodyText"/>
      </w:pPr>
      <w:r>
        <w:rPr>
          <w:iCs/>
          <w:i/>
        </w:rPr>
        <w:t xml:space="preserve">Why it matters:</w:t>
      </w:r>
      <w:r>
        <w:t xml:space="preserve"> </w:t>
      </w:r>
      <w:r>
        <w:t xml:space="preserve">These are encouraging, task-specific signals of capability—but they come from distinct evaluation settings and should not be read as evidence of broad reliability.</w:t>
      </w:r>
    </w:p>
    <w:bookmarkEnd w:id="24"/>
    <w:bookmarkEnd w:id="25"/>
    <w:bookmarkStart w:id="27" w:name="Xf4ff5b6f551078b43472da9b653f9af2ccc7749"/>
    <w:p>
      <w:pPr>
        <w:pStyle w:val="Heading2"/>
      </w:pPr>
      <w:r>
        <w:t xml:space="preserve">Open-model access becomes a sharper policy and market debate</w:t>
      </w:r>
    </w:p>
    <w:bookmarkStart w:id="26" w:name="X661d2ffbc2ace53fb43d365fce9199146bd58ec"/>
    <w:p>
      <w:pPr>
        <w:pStyle w:val="Heading3"/>
      </w:pPr>
      <w:r>
        <w:t xml:space="preserve">Advocates argue against restrictions as Qwen prepares its release</w:t>
      </w:r>
    </w:p>
    <w:p>
      <w:pPr>
        <w:pStyle w:val="FirstParagraph"/>
      </w:pPr>
      <w:r>
        <w:t xml:space="preserve">Hugging Face CEO Clement Delangue responded to rumors that open-source AI could be limited or regulated by arguing for more open-source AI worldwide. He says open models offer control, transparency, lower costs, adaptability, and a way to compete with larger providers rather than depend on them. [7]</w:t>
      </w:r>
    </w:p>
    <w:p>
      <w:pPr>
        <w:pStyle w:val="BodyText"/>
      </w:pPr>
      <w:r>
        <w:t xml:space="preserve">Yann LeCun likewise challenged the characterization of open releases as</w:t>
      </w:r>
      <w:r>
        <w:t xml:space="preserve"> </w:t>
      </w:r>
      <w:r>
        <w:t xml:space="preserve">“</w:t>
      </w:r>
      <w:r>
        <w:t xml:space="preserve">dumping,</w:t>
      </w:r>
      <w:r>
        <w:t xml:space="preserve">”</w:t>
      </w:r>
      <w:r>
        <w:t xml:space="preserve"> </w:t>
      </w:r>
      <w:r>
        <w:t xml:space="preserve">pointing to foundational projects including Linux, Apache, PyTorch, and Llama. [8]</w:t>
      </w:r>
    </w:p>
    <w:p>
      <w:pPr>
        <w:pStyle w:val="BodyText"/>
      </w:pPr>
      <w:r>
        <w:rPr>
          <w:iCs/>
          <w:i/>
        </w:rPr>
        <w:t xml:space="preserve">Why it matters:</w:t>
      </w:r>
      <w:r>
        <w:t xml:space="preserve"> </w:t>
      </w:r>
      <w:r>
        <w:t xml:space="preserve">The Qwen announcement arrives as the terms of access to powerful models—not just their performance—are becoming a central competitive and policy question.</w:t>
      </w:r>
    </w:p>
    <w:bookmarkEnd w:id="26"/>
    <w:bookmarkEnd w:id="27"/>
    <w:bookmarkStart w:id="41" w:name="Xf239cde458650d0f57ed171bf9dc2f25d8b2375"/>
    <w:p>
      <w:pPr>
        <w:pStyle w:val="Heading2"/>
      </w:pPr>
      <w:r>
        <w:t xml:space="preserve">A reminder to separate benchmark spikes from deployment readiness</w:t>
      </w:r>
    </w:p>
    <w:bookmarkStart w:id="28" w:name="X16bd20294b34cf6790825ddbfb2d3e53870ee29"/>
    <w:p>
      <w:pPr>
        <w:pStyle w:val="Heading3"/>
      </w:pPr>
      <w:r>
        <w:t xml:space="preserve">François Chollet and Gary Marcus question broad conclusions from model scores</w:t>
      </w:r>
    </w:p>
    <w:p>
      <w:pPr>
        <w:pStyle w:val="FirstParagraph"/>
      </w:pPr>
      <w:r>
        <w:t xml:space="preserve">François Chollet argues that AI competence remains</w:t>
      </w:r>
      <w:r>
        <w:t xml:space="preserve"> </w:t>
      </w:r>
      <w:r>
        <w:t xml:space="preserve">“</w:t>
      </w:r>
      <w:r>
        <w:t xml:space="preserve">spiky</w:t>
      </w:r>
      <w:r>
        <w:t xml:space="preserve">”</w:t>
      </w:r>
      <w:r>
        <w:t xml:space="preserve">: systems can be superhuman in narrow domains while largely ineffective in others, and people may mistakenly treat a peak capability as a general baseline. [9, 10]</w:t>
      </w:r>
    </w:p>
    <w:p>
      <w:pPr>
        <w:pStyle w:val="BodyText"/>
      </w:pPr>
      <w:r>
        <w:t xml:space="preserve">Gary Marcus similarly argues that benchmark power has not made models transformative for most businesses because they are still not reliable enough in real-world use. [11]</w:t>
      </w:r>
    </w:p>
    <w:p>
      <w:pPr>
        <w:pStyle w:val="BodyText"/>
      </w:pPr>
      <w:r>
        <w:rPr>
          <w:iCs/>
          <w:i/>
        </w:rPr>
        <w:t xml:space="preserve">Why it matters:</w:t>
      </w:r>
      <w:r>
        <w:t xml:space="preserve"> </w:t>
      </w:r>
      <w:r>
        <w:t xml:space="preserve">As new coding, mathematics, and medical-exam results arrive, the practical question is whether those capabilities transfer reliably to the settings where organizations need them.</w:t>
      </w:r>
    </w:p>
    <w:p>
      <w:r>
        <w:pict>
          <v:rect style="width:0;height:1.5pt" o:hralign="center" o:hrstd="t" o:hr="t"/>
        </w:pict>
      </w:r>
    </w:p>
    <w:bookmarkEnd w:id="28"/>
    <w:bookmarkStart w:id="40" w:name="sources"/>
    <w:p>
      <w:pPr>
        <w:pStyle w:val="Heading3"/>
      </w:pPr>
      <w:r>
        <w:t xml:space="preserve">Sources</w:t>
      </w:r>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@Alibaba_Qwen</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@Kimi_Moonshot</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@cb_doge</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@thomasfbloom</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@ylecun</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@GaryMarcus</w:t>
        </w:r>
      </w:hyperlink>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x.com/Alibaba_Qwen/status/2078759124914098291" TargetMode="External" /><Relationship Type="http://schemas.openxmlformats.org/officeDocument/2006/relationships/hyperlink" Id="rId35" Target="https://x.com/ClementDelangue/status/2078891672818352425" TargetMode="External" /><Relationship Type="http://schemas.openxmlformats.org/officeDocument/2006/relationships/hyperlink" Id="rId39" Target="https://x.com/GaryMarcus/status/2079050067894243757" TargetMode="External" /><Relationship Type="http://schemas.openxmlformats.org/officeDocument/2006/relationships/hyperlink" Id="rId31" Target="https://x.com/Kimi_Moonshot/status/2078855608565207130" TargetMode="External" /><Relationship Type="http://schemas.openxmlformats.org/officeDocument/2006/relationships/hyperlink" Id="rId32" Target="https://x.com/cb_doge/status/2078920456682488189" TargetMode="External" /><Relationship Type="http://schemas.openxmlformats.org/officeDocument/2006/relationships/hyperlink" Id="rId37" Target="https://x.com/fchollet/status/2079056619120595063" TargetMode="External" /><Relationship Type="http://schemas.openxmlformats.org/officeDocument/2006/relationships/hyperlink" Id="rId38" Target="https://x.com/fchollet/status/2079057411902710053" TargetMode="External" /><Relationship Type="http://schemas.openxmlformats.org/officeDocument/2006/relationships/hyperlink" Id="rId34" Target="https://x.com/gdb/status/2078977720793661459" TargetMode="External" /><Relationship Type="http://schemas.openxmlformats.org/officeDocument/2006/relationships/hyperlink" Id="rId30" Target="https://x.com/natolambert/status/2078822507684249811" TargetMode="External" /><Relationship Type="http://schemas.openxmlformats.org/officeDocument/2006/relationships/hyperlink" Id="rId33" Target="https://x.com/thomasfbloom/status/2078732540441973244" TargetMode="External" /><Relationship Type="http://schemas.openxmlformats.org/officeDocument/2006/relationships/hyperlink" Id="rId36" Target="https://x.com/ylecun/status/2078802625449906439" TargetMode="External" /></Relationships>
</file>

<file path=word/_rels/footnotes.xml.rels><?xml version="1.0" encoding="UTF-8"?><Relationships xmlns="http://schemas.openxmlformats.org/package/2006/relationships"><Relationship Type="http://schemas.openxmlformats.org/officeDocument/2006/relationships/hyperlink" Id="rId29" Target="https://x.com/Alibaba_Qwen/status/2078759124914098291" TargetMode="External" /><Relationship Type="http://schemas.openxmlformats.org/officeDocument/2006/relationships/hyperlink" Id="rId35" Target="https://x.com/ClementDelangue/status/2078891672818352425" TargetMode="External" /><Relationship Type="http://schemas.openxmlformats.org/officeDocument/2006/relationships/hyperlink" Id="rId39" Target="https://x.com/GaryMarcus/status/2079050067894243757" TargetMode="External" /><Relationship Type="http://schemas.openxmlformats.org/officeDocument/2006/relationships/hyperlink" Id="rId31" Target="https://x.com/Kimi_Moonshot/status/2078855608565207130" TargetMode="External" /><Relationship Type="http://schemas.openxmlformats.org/officeDocument/2006/relationships/hyperlink" Id="rId32" Target="https://x.com/cb_doge/status/2078920456682488189" TargetMode="External" /><Relationship Type="http://schemas.openxmlformats.org/officeDocument/2006/relationships/hyperlink" Id="rId37" Target="https://x.com/fchollet/status/2079056619120595063" TargetMode="External" /><Relationship Type="http://schemas.openxmlformats.org/officeDocument/2006/relationships/hyperlink" Id="rId38" Target="https://x.com/fchollet/status/2079057411902710053" TargetMode="External" /><Relationship Type="http://schemas.openxmlformats.org/officeDocument/2006/relationships/hyperlink" Id="rId34" Target="https://x.com/gdb/status/2078977720793661459" TargetMode="External" /><Relationship Type="http://schemas.openxmlformats.org/officeDocument/2006/relationships/hyperlink" Id="rId30" Target="https://x.com/natolambert/status/2078822507684249811" TargetMode="External" /><Relationship Type="http://schemas.openxmlformats.org/officeDocument/2006/relationships/hyperlink" Id="rId33" Target="https://x.com/thomasfbloom/status/2078732540441973244" TargetMode="External" /><Relationship Type="http://schemas.openxmlformats.org/officeDocument/2006/relationships/hyperlink" Id="rId36" Target="https://x.com/ylecun/status/20788026254499064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Open-Weight Competition Grows as Kimi Hits Capacity Limits</dc:title>
  <dc:creator>AI News Digest</dc:creator>
  <cp:keywords/>
  <dcterms:created xsi:type="dcterms:W3CDTF">2026-07-21T07:14:39Z</dcterms:created>
  <dcterms:modified xsi:type="dcterms:W3CDTF">2026-07-21T07:14:39Z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2026-07-20</vt:lpwstr>
  </property>
</Properties>
</file>