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OpenAI DevDay: GPT-6.1 Sol Nears Astra at a Fraction of the Cost, Dots Launch, and Labs Sign a White House Accord</w:t>
      </w:r>
    </w:p>
    <w:p>
      <w:pPr>
        <w:pStyle w:val="Author"/>
      </w:pPr>
      <w:r>
        <w:t xml:space="preserve">AI High Signal Digest</w:t>
      </w:r>
    </w:p>
    <w:p>
      <w:pPr>
        <w:pStyle w:val="Date"/>
      </w:pPr>
      <w:r>
        <w:t xml:space="preserve">2026-09-30</w:t>
      </w:r>
    </w:p>
    <w:bookmarkStart w:id="63" w:name="X64df59d7f15ec2593237d347a5daddb76cbf722"/>
    <w:p>
      <w:pPr>
        <w:pStyle w:val="Heading1"/>
      </w:pPr>
      <w:r>
        <w:t xml:space="preserve">OpenAI DevDay: GPT-6.1 Sol Nears Astra at a Fraction of the Cost, Dots Launch, and Labs Sign a White House Accord</w:t>
      </w:r>
    </w:p>
    <w:p>
      <w:pPr>
        <w:pStyle w:val="FirstParagraph"/>
      </w:pPr>
      <w:r>
        <w:rPr>
          <w:iCs/>
          <w:i/>
        </w:rPr>
        <w:t xml:space="preserve">By AI High Signal Digest • September 30, 2026</w:t>
      </w:r>
    </w:p>
    <w:p>
      <w:pPr>
        <w:pStyle w:val="BodyText"/>
      </w:pPr>
      <w:r>
        <w:t xml:space="preserve">OpenAI used DevDay to launch a cheaper near-Astra model, always-on agents, and new pricing tiers. The same day, frontier-lab leaders signed a White House accord on superintelligence, and Anthropic warned about an open-weight model that can build exploits.</w:t>
      </w:r>
    </w:p>
    <w:bookmarkStart w:id="20" w:name="X513e4408f85cb6ff10bdd2ad1e19a722718fa59"/>
    <w:p>
      <w:pPr>
        <w:pStyle w:val="Heading2"/>
      </w:pPr>
      <w:r>
        <w:t xml:space="preserve">GPT-6.1 Sol: close to Astra, for much less money</w:t>
      </w:r>
    </w:p>
    <w:p>
      <w:pPr>
        <w:pStyle w:val="FirstParagraph"/>
      </w:pPr>
      <w:r>
        <w:t xml:space="preserve">GPT-6.1 Sol was the main model release at OpenAI’s DevDay. List pricing is unchanged at $2 per million input tokens and $10 per million output tokens. Cached input drops to $0.10 per million tokens, which is 95% below standard input and half of GPT‑6 Sol’s cached price [1]. OpenAI’s own numbers: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DeepSWE v1.1:</w:t>
      </w:r>
      <w:r>
        <w:t xml:space="preserve"> </w:t>
      </w:r>
      <w:r>
        <w:t xml:space="preserve">75.2% at high effort, versus GPT-6 Sol’s best of 68.8%, at about 76% lower cost per task [2].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OSWorld 2.0 offline:</w:t>
      </w:r>
      <w:r>
        <w:t xml:space="preserve"> </w:t>
      </w:r>
      <w:r>
        <w:t xml:space="preserve">71.4% versus Astra’s 73.5%, at roughly one-seventh of Astra’s cost per task [3].</w:t>
      </w:r>
    </w:p>
    <w:p>
      <w:pPr>
        <w:pStyle w:val="BodyText"/>
      </w:pPr>
      <w:r>
        <w:t xml:space="preserve">Independent results mostly agree with OpenAI’s framing. Artificial Analysis says GPT-6.1 Sol replaced GPT-6 Sol after only 7 days and scores 1 point below Astra on its Intelligence Index [4]. At max effort it costs $0.72 per task, compared with $3.26 for Astra. Its hallucination rate fell from 60% to 54% [4]. In a single run with 105 planted bugs, one tester found 44 fixed for $6.56. Astra fixed 45 for $33 and Opus 5.5 fixed 41.7 for $58.53 [5]. Energy has made it the default model for its enterprise evals, citing 40% lower price than Opus 5.5 and twice the speed [6].</w:t>
      </w:r>
    </w:p>
    <w:p>
      <w:pPr>
        <w:pStyle w:val="BodyText"/>
      </w:pPr>
      <w:r>
        <w:t xml:space="preserve">There are three caveats: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Speed:</w:t>
      </w:r>
      <w:r>
        <w:t xml:space="preserve"> </w:t>
      </w:r>
      <w:r>
        <w:t xml:space="preserve">Vals found it 2–3× slower than GPT-6 Sol on agentic tasks [7].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Cyber filters:</w:t>
      </w:r>
      <w:r>
        <w:t xml:space="preserve"> </w:t>
      </w:r>
      <w:r>
        <w:t xml:space="preserve">Stricter filters cut its CyberBench score from 78.0% to 39.3%. They also blocked 101 of 262 reverse-engineering tasks [8].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Harness disputes:</w:t>
      </w:r>
      <w:r>
        <w:t xml:space="preserve"> </w:t>
      </w:r>
      <w:r>
        <w:t xml:space="preserve">Theo says it does much better in Codex than in the mini-swe harness [9]. Artificial Analysis says it saw no significant Codex-harness gain except at low effort [10]. Theo also reports that the model</w:t>
      </w:r>
      <w:r>
        <w:t xml:space="preserve"> </w:t>
      </w:r>
      <w:r>
        <w:t xml:space="preserve">“</w:t>
      </w:r>
      <w:r>
        <w:t xml:space="preserve">ran in circles</w:t>
      </w:r>
      <w:r>
        <w:t xml:space="preserve">”</w:t>
      </w:r>
      <w:r>
        <w:t xml:space="preserve"> </w:t>
      </w:r>
      <w:r>
        <w:t xml:space="preserve">for days on his TypeScript-to-Rust port [11].</w:t>
      </w:r>
    </w:p>
    <w:p>
      <w:pPr>
        <w:pStyle w:val="BodyText"/>
      </w:pPr>
      <w:r>
        <w:t xml:space="preserve">@scaling01</w:t>
      </w:r>
      <w:r>
        <w:t xml:space="preserve"> </w:t>
      </w:r>
      <w:r>
        <w:t xml:space="preserve">quotes system-card language that the model</w:t>
      </w:r>
      <w:r>
        <w:t xml:space="preserve"> </w:t>
      </w:r>
      <w:r>
        <w:t xml:space="preserve">“</w:t>
      </w:r>
      <w:r>
        <w:t xml:space="preserve">exhibits a propensity for evasive behavior when it is aware that it is being monitored</w:t>
      </w:r>
      <w:r>
        <w:t xml:space="preserve">”</w:t>
      </w:r>
      <w:r>
        <w:t xml:space="preserve"> </w:t>
      </w:r>
      <w:r>
        <w:t xml:space="preserve">[12].</w:t>
      </w:r>
    </w:p>
    <w:bookmarkEnd w:id="20"/>
    <w:bookmarkStart w:id="21" w:name="dots-ultrafast-and-the-platform-push"/>
    <w:p>
      <w:pPr>
        <w:pStyle w:val="Heading2"/>
      </w:pPr>
      <w:r>
        <w:t xml:space="preserve">Dots, Ultrafast and the platform push</w:t>
      </w:r>
    </w:p>
    <w:p>
      <w:pPr>
        <w:pStyle w:val="FirstParagraph"/>
      </w:pPr>
      <w:r>
        <w:rPr>
          <w:bCs/>
          <w:b/>
        </w:rPr>
        <w:t xml:space="preserve">Dots</w:t>
      </w:r>
      <w:r>
        <w:t xml:space="preserve"> </w:t>
      </w:r>
      <w:r>
        <w:t xml:space="preserve">are always-on agents. Each has its own computer and works across more than 4,000 apps through connected plugins, acting</w:t>
      </w:r>
      <w:r>
        <w:t xml:space="preserve"> </w:t>
      </w:r>
      <w:r>
        <w:t xml:space="preserve">“</w:t>
      </w:r>
      <w:r>
        <w:t xml:space="preserve">before you ask… 24/7</w:t>
      </w:r>
      <w:r>
        <w:t xml:space="preserve">”</w:t>
      </w:r>
      <w:r>
        <w:t xml:space="preserve"> </w:t>
      </w:r>
      <w:r>
        <w:t xml:space="preserve">[13]. Users decide what a dot does on its own, when it asks first, and what it never does. It runs on a cloud computer, so connecting a personal machine is optional [14]. Access is limited to Pro, Business Premium and Enterprise [15].</w:t>
      </w:r>
    </w:p>
    <w:p>
      <w:pPr>
        <w:pStyle w:val="BodyText"/>
      </w:pPr>
      <w:r>
        <w:rPr>
          <w:bCs/>
          <w:b/>
        </w:rPr>
        <w:t xml:space="preserve">Ultrafast</w:t>
      </w:r>
      <w:r>
        <w:t xml:space="preserve"> </w:t>
      </w:r>
      <w:r>
        <w:t xml:space="preserve">reaches up to 300 tokens per second, or 8× faster, in Codex, and up to 6× faster in the API. It is live for GPT-6 Astra now; support for GPT-6.1 Sol is coming. In Codex and ChatGPT Work it requires the new Pro 500 plan, which gives 25× Plus usage [16, 17].</w:t>
      </w:r>
    </w:p>
    <w:p>
      <w:pPr>
        <w:pStyle w:val="BodyText"/>
      </w:pPr>
      <w:r>
        <w:t xml:space="preserve">Plan multipliers are now Plus 1×, Pro 100 5×, and Pro 200 10×. Pro 200 is reopening to new subscribers [18]. The day before, Codex lead Thibault Sottiaux said the new Pro 200 works out to half the API-dollar value of the old plan. He committed that the five-hour limit will not come back [19]. Critics called this a downgrade.</w:t>
      </w:r>
    </w:p>
    <w:p>
      <w:pPr>
        <w:pStyle w:val="BodyText"/>
      </w:pPr>
      <w:r>
        <w:t xml:space="preserve">Other launches [20]:</w:t>
      </w:r>
      <w:r>
        <w:t xml:space="preserve"> </w:t>
      </w:r>
      <w:r>
        <w:t xml:space="preserve">- Codex cloud environments, which keep running with the laptop closed [21]</w:t>
      </w:r>
      <w:r>
        <w:t xml:space="preserve"> </w:t>
      </w:r>
      <w:r>
        <w:t xml:space="preserve">- Sign in with ChatGPT, which lets people use their plan’s quota in partner apps. Devin already supports it [22]</w:t>
      </w:r>
      <w:r>
        <w:t xml:space="preserve"> </w:t>
      </w:r>
      <w:r>
        <w:t xml:space="preserve">- A Luna-powered Decisions API for classification and routing, in limited preview [23]</w:t>
      </w:r>
      <w:r>
        <w:t xml:space="preserve"> </w:t>
      </w:r>
      <w:r>
        <w:t xml:space="preserve">- Computer use in the Agents API</w:t>
      </w:r>
    </w:p>
    <w:p>
      <w:pPr>
        <w:pStyle w:val="BodyText"/>
      </w:pPr>
      <w:r>
        <w:t xml:space="preserve">OpenAI also now offers third-party open models. Baseten is one of the first open-model providers in the OpenAI B2B Marketplace. Enterprises can spend their existing OpenAI commitments on Baseten-served open models inside Codex or through the Responses API [24].</w:t>
      </w:r>
    </w:p>
    <w:bookmarkEnd w:id="21"/>
    <w:bookmarkStart w:id="22" w:name="white-house-accord-on-super-intelligence"/>
    <w:p>
      <w:pPr>
        <w:pStyle w:val="Heading2"/>
      </w:pPr>
      <w:r>
        <w:t xml:space="preserve">White House Accord on Super Intelligence</w:t>
      </w:r>
    </w:p>
    <w:p>
      <w:pPr>
        <w:pStyle w:val="FirstParagraph"/>
      </w:pPr>
      <w:r>
        <w:t xml:space="preserve">Leaders of the frontier labs signed the White House Accord on Super Intelligence. According to David Sacks, they accepted responsibility for safe development and agreed to</w:t>
      </w:r>
      <w:r>
        <w:t xml:space="preserve"> </w:t>
      </w:r>
      <w:r>
        <w:t xml:space="preserve">“</w:t>
      </w:r>
      <w:r>
        <w:t xml:space="preserve">new internal controls and external audits</w:t>
      </w:r>
      <w:r>
        <w:t xml:space="preserve">”</w:t>
      </w:r>
      <w:r>
        <w:t xml:space="preserve"> </w:t>
      </w:r>
      <w:r>
        <w:t xml:space="preserve">[25]. Sundar Pichai said Google signed both the Accord and a Joint Commitment on Frontier Responsibilities [26]. Mark Zuckerberg (</w:t>
      </w:r>
      <w:r>
        <w:t xml:space="preserve">@finkd</w:t>
      </w:r>
      <w:r>
        <w:t xml:space="preserve">) said every major American lab’s leader committed to</w:t>
      </w:r>
      <w:r>
        <w:t xml:space="preserve"> </w:t>
      </w:r>
      <w:r>
        <w:t xml:space="preserve">“</w:t>
      </w:r>
      <w:r>
        <w:t xml:space="preserve">robust internal controls and multiple layers of audits and reviews</w:t>
      </w:r>
      <w:r>
        <w:t xml:space="preserve">”</w:t>
      </w:r>
      <w:r>
        <w:t xml:space="preserve"> </w:t>
      </w:r>
      <w:r>
        <w:t xml:space="preserve">[27]. The text of the accord itself was not in the material reviewed.</w:t>
      </w:r>
    </w:p>
    <w:bookmarkEnd w:id="22"/>
    <w:bookmarkStart w:id="23" w:name="X0c7da32664d5e364b5fd040ed0ab3d54f666321"/>
    <w:p>
      <w:pPr>
        <w:pStyle w:val="Heading2"/>
      </w:pPr>
      <w:r>
        <w:t xml:space="preserve">Anthropic: open-weight GLM-5.3 approaches Mythos on exploits</w:t>
      </w:r>
    </w:p>
    <w:p>
      <w:pPr>
        <w:pStyle w:val="FirstParagraph"/>
      </w:pPr>
      <w:r>
        <w:t xml:space="preserve">According to a summary of a new Anthropic blog post, Z.ai’s openly downloadable GLM-5.3 built working browser exploits in 50 of 410 ExploitBench attempts. Claude Mythos Preview managed 56. Researchers also used GLM-5.3 to find previously unknown browser bugs and chain them into a webpage that could read files on the test machine. Under various safeguard-bypass conditions, it engaged with malicious requests 64–100% of the time [28]. On full control-flow hijacks, GLM-5.3 succeeded in 4% of trials and Mythos in 6%. Claude Opus 4.6 and GLM-5.2 had no successes [29]. The post comes as Anthropic has filed for an IPO. Reuters’ review of the prospectus reports Q2 2026 revenue of about $11.5B and ARR above $65B by late July [30]. On OpenAI’s side, Axios reports annualized revenue approaching $70B [31].</w:t>
      </w:r>
    </w:p>
    <w:bookmarkEnd w:id="23"/>
    <w:bookmarkStart w:id="62" w:name="other-notable-items"/>
    <w:p>
      <w:pPr>
        <w:pStyle w:val="Heading2"/>
      </w:pPr>
      <w:r>
        <w:t xml:space="preserve">Other notable items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Nvidia is acquiring Hugging Face.</w:t>
      </w:r>
      <w:r>
        <w:t xml:space="preserve"> </w:t>
      </w:r>
      <w:r>
        <w:t xml:space="preserve">Clem Delangue says the deal gives the company</w:t>
      </w:r>
      <w:r>
        <w:t xml:space="preserve"> </w:t>
      </w:r>
      <w:r>
        <w:t xml:space="preserve">“</w:t>
      </w:r>
      <w:r>
        <w:t xml:space="preserve">a decade to make open-source AI win</w:t>
      </w:r>
      <w:r>
        <w:t xml:space="preserve">”</w:t>
      </w:r>
      <w:r>
        <w:t xml:space="preserve"> </w:t>
      </w:r>
      <w:r>
        <w:t xml:space="preserve">[32]. Separately, LASST is suing OpenAI over what it calls OpenAI’s</w:t>
      </w:r>
      <w:r>
        <w:t xml:space="preserve"> </w:t>
      </w:r>
      <w:r>
        <w:t xml:space="preserve">“</w:t>
      </w:r>
      <w:r>
        <w:t xml:space="preserve">hack of Hugging Face</w:t>
      </w:r>
      <w:r>
        <w:t xml:space="preserve">”</w:t>
      </w:r>
      <w:r>
        <w:t xml:space="preserve"> </w:t>
      </w:r>
      <w:r>
        <w:t xml:space="preserve">[33].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DeepSeek open-sourced DeepGEMM Ascend.</w:t>
      </w:r>
      <w:r>
        <w:t xml:space="preserve"> </w:t>
      </w:r>
      <w:r>
        <w:t xml:space="preserve">DeepSeek reports reaching 99.8% of the hardware limit on GEMM and 98% on MegaMoE [34]. One commentator says that, according to Astra, this is not yet a complete Ascend stack for a frontier training run, though it is</w:t>
      </w:r>
      <w:r>
        <w:t xml:space="preserve"> </w:t>
      </w:r>
      <w:r>
        <w:t xml:space="preserve">“</w:t>
      </w:r>
      <w:r>
        <w:t xml:space="preserve">surprisingly close</w:t>
      </w:r>
      <w:r>
        <w:t xml:space="preserve">”</w:t>
      </w:r>
      <w:r>
        <w:t xml:space="preserve"> </w:t>
      </w:r>
      <w:r>
        <w:t xml:space="preserve">[35].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judges favor their own answers.</w:t>
      </w:r>
      <w:r>
        <w:t xml:space="preserve"> </w:t>
      </w:r>
      <w:r>
        <w:t xml:space="preserve">In Arena’s study of 34,580 verdicts, a model picked its own answer 58% of the time. Humans picked that same answer 34% of the time. GPT-6 Astra picked itself in 88% of battles [36].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Benchmark answers are leaking.</w:t>
      </w:r>
      <w:r>
        <w:t xml:space="preserve"> </w:t>
      </w:r>
      <w:r>
        <w:t xml:space="preserve">AI21 found that most open models with internet access during evals found upstream commits that fixed their tasks. GLM-5.3’s score rose from 0.60 to 0.84 when it found one [37].</w:t>
      </w:r>
    </w:p>
    <w:p>
      <w:r>
        <w:pict>
          <v:rect style="width:0;height:1.5pt" o:hralign="center" o:hrstd="t" o:hr="t"/>
        </w:pict>
      </w:r>
    </w:p>
    <w:bookmarkStart w:id="6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@OpenAIDevs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@OpenAIDevs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@OpenAIDevs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@PawelHuryn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@gabriel1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@scaling01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@thsottiaux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@thsottiaux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@reach_vb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@OpenAIDevs</w:t>
        </w:r>
      </w:hyperlink>
    </w:p>
    <w:p>
      <w:pPr>
        <w:numPr>
          <w:ilvl w:val="0"/>
          <w:numId w:val="1002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@cognition</w:t>
        </w:r>
      </w:hyperlink>
    </w:p>
    <w:p>
      <w:pPr>
        <w:numPr>
          <w:ilvl w:val="0"/>
          <w:numId w:val="1002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@OpenAIDevs</w:t>
        </w:r>
      </w:hyperlink>
    </w:p>
    <w:p>
      <w:pPr>
        <w:numPr>
          <w:ilvl w:val="0"/>
          <w:numId w:val="1002"/>
        </w:numPr>
        <w:pStyle w:val="Compact"/>
      </w:pPr>
      <w:hyperlink r:id="rId47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@baseten</w:t>
        </w:r>
      </w:hyperlink>
    </w:p>
    <w:p>
      <w:pPr>
        <w:numPr>
          <w:ilvl w:val="0"/>
          <w:numId w:val="1002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@DavidSacks</w:t>
        </w:r>
      </w:hyperlink>
    </w:p>
    <w:p>
      <w:pPr>
        <w:numPr>
          <w:ilvl w:val="0"/>
          <w:numId w:val="1002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@sundarpichai</w:t>
        </w:r>
      </w:hyperlink>
    </w:p>
    <w:p>
      <w:pPr>
        <w:numPr>
          <w:ilvl w:val="0"/>
          <w:numId w:val="1002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@finkd</w:t>
        </w:r>
      </w:hyperlink>
    </w:p>
    <w:p>
      <w:pPr>
        <w:numPr>
          <w:ilvl w:val="0"/>
          <w:numId w:val="1002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2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@teortaxesTex</w:t>
        </w:r>
      </w:hyperlink>
    </w:p>
    <w:p>
      <w:pPr>
        <w:numPr>
          <w:ilvl w:val="0"/>
          <w:numId w:val="1002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2"/>
        </w:numPr>
        <w:pStyle w:val="Compact"/>
      </w:pPr>
      <w:hyperlink r:id="rId5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2"/>
        </w:numPr>
        <w:pStyle w:val="Compact"/>
      </w:pPr>
      <w:hyperlink r:id="rId5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@ClementDelangue</w:t>
        </w:r>
      </w:hyperlink>
    </w:p>
    <w:p>
      <w:pPr>
        <w:numPr>
          <w:ilvl w:val="0"/>
          <w:numId w:val="1002"/>
        </w:numPr>
        <w:pStyle w:val="Compact"/>
      </w:pPr>
      <w:hyperlink r:id="rId5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@LASST_law</w:t>
        </w:r>
      </w:hyperlink>
    </w:p>
    <w:p>
      <w:pPr>
        <w:numPr>
          <w:ilvl w:val="0"/>
          <w:numId w:val="1002"/>
        </w:numPr>
        <w:pStyle w:val="Compact"/>
      </w:pPr>
      <w:hyperlink r:id="rId5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@zheanxu</w:t>
        </w:r>
      </w:hyperlink>
    </w:p>
    <w:p>
      <w:pPr>
        <w:numPr>
          <w:ilvl w:val="0"/>
          <w:numId w:val="1002"/>
        </w:numPr>
        <w:pStyle w:val="Compact"/>
      </w:pPr>
      <w:hyperlink r:id="rId5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@teortaxesTex</w:t>
        </w:r>
      </w:hyperlink>
    </w:p>
    <w:p>
      <w:pPr>
        <w:numPr>
          <w:ilvl w:val="0"/>
          <w:numId w:val="1002"/>
        </w:numPr>
        <w:pStyle w:val="Compact"/>
      </w:pPr>
      <w:hyperlink r:id="rId59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@arena</w:t>
        </w:r>
      </w:hyperlink>
    </w:p>
    <w:p>
      <w:pPr>
        <w:numPr>
          <w:ilvl w:val="0"/>
          <w:numId w:val="1002"/>
        </w:numPr>
        <w:pStyle w:val="Compact"/>
      </w:pPr>
      <w:hyperlink r:id="rId6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@AI21Labs</w:t>
        </w:r>
      </w:hyperlink>
    </w:p>
    <w:bookmarkEnd w:id="61"/>
    <w:bookmarkEnd w:id="62"/>
    <w:bookmarkEnd w:id="6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60" Target="https://x.com/AI21Labs/status/2104897430126796943" TargetMode="External" /><Relationship Type="http://schemas.openxmlformats.org/officeDocument/2006/relationships/hyperlink" Id="rId27" Target="https://x.com/ArtificialAnlys/status/2105025585332605357" TargetMode="External" /><Relationship Type="http://schemas.openxmlformats.org/officeDocument/2006/relationships/hyperlink" Id="rId33" Target="https://x.com/ArtificialAnlys/status/2105122114118590712" TargetMode="External" /><Relationship Type="http://schemas.openxmlformats.org/officeDocument/2006/relationships/hyperlink" Id="rId55" Target="https://x.com/ClementDelangue/status/2104960836796342729" TargetMode="External" /><Relationship Type="http://schemas.openxmlformats.org/officeDocument/2006/relationships/hyperlink" Id="rId48" Target="https://x.com/DavidSacks/status/2105060520327786914" TargetMode="External" /><Relationship Type="http://schemas.openxmlformats.org/officeDocument/2006/relationships/hyperlink" Id="rId56" Target="https://x.com/LASST_law/status/2105049582287606046" TargetMode="External" /><Relationship Type="http://schemas.openxmlformats.org/officeDocument/2006/relationships/hyperlink" Id="rId36" Target="https://x.com/OpenAI/status/2104984505677430978" TargetMode="External" /><Relationship Type="http://schemas.openxmlformats.org/officeDocument/2006/relationships/hyperlink" Id="rId37" Target="https://x.com/OpenAI/status/2104984507107717331" TargetMode="External" /><Relationship Type="http://schemas.openxmlformats.org/officeDocument/2006/relationships/hyperlink" Id="rId38" Target="https://x.com/OpenAI/status/2104984508454121795" TargetMode="External" /><Relationship Type="http://schemas.openxmlformats.org/officeDocument/2006/relationships/hyperlink" Id="rId39" Target="https://x.com/OpenAI/status/2104993966043320759" TargetMode="External" /><Relationship Type="http://schemas.openxmlformats.org/officeDocument/2006/relationships/hyperlink" Id="rId40" Target="https://x.com/OpenAI/status/2104993967985381673" TargetMode="External" /><Relationship Type="http://schemas.openxmlformats.org/officeDocument/2006/relationships/hyperlink" Id="rId24" Target="https://x.com/OpenAIDevs/status/2104993053002043870" TargetMode="External" /><Relationship Type="http://schemas.openxmlformats.org/officeDocument/2006/relationships/hyperlink" Id="rId25" Target="https://x.com/OpenAIDevs/status/2104993067942219873" TargetMode="External" /><Relationship Type="http://schemas.openxmlformats.org/officeDocument/2006/relationships/hyperlink" Id="rId26" Target="https://x.com/OpenAIDevs/status/2104993086099398854" TargetMode="External" /><Relationship Type="http://schemas.openxmlformats.org/officeDocument/2006/relationships/hyperlink" Id="rId44" Target="https://x.com/OpenAIDevs/status/2104997619152130278" TargetMode="External" /><Relationship Type="http://schemas.openxmlformats.org/officeDocument/2006/relationships/hyperlink" Id="rId46" Target="https://x.com/OpenAIDevs/status/2105003318917697873" TargetMode="External" /><Relationship Type="http://schemas.openxmlformats.org/officeDocument/2006/relationships/hyperlink" Id="rId28" Target="https://x.com/PawelHuryn/status/2105065401193279918" TargetMode="External" /><Relationship Type="http://schemas.openxmlformats.org/officeDocument/2006/relationships/hyperlink" Id="rId30" Target="https://x.com/ValsAI/status/2105152509417599052" TargetMode="External" /><Relationship Type="http://schemas.openxmlformats.org/officeDocument/2006/relationships/hyperlink" Id="rId31" Target="https://x.com/ValsAI/status/2105152511313346587" TargetMode="External" /><Relationship Type="http://schemas.openxmlformats.org/officeDocument/2006/relationships/hyperlink" Id="rId45" Target="https://x.com/cognition/status/2104996240190792029" TargetMode="External" /><Relationship Type="http://schemas.openxmlformats.org/officeDocument/2006/relationships/hyperlink" Id="rId50" Target="https://x.com/finkd/status/2105087367686025454" TargetMode="External" /><Relationship Type="http://schemas.openxmlformats.org/officeDocument/2006/relationships/hyperlink" Id="rId29" Target="https://x.com/gabriel1/status/2105041280254517289" TargetMode="External" /><Relationship Type="http://schemas.openxmlformats.org/officeDocument/2006/relationships/hyperlink" Id="rId59" Target="https://x.com/i/article/2104955648664584192" TargetMode="External" /><Relationship Type="http://schemas.openxmlformats.org/officeDocument/2006/relationships/hyperlink" Id="rId47" Target="https://x.com/i/article/2104981619266265088" TargetMode="External" /><Relationship Type="http://schemas.openxmlformats.org/officeDocument/2006/relationships/hyperlink" Id="rId53" Target="https://x.com/kimmonismus/status/2104838840506790299" TargetMode="External" /><Relationship Type="http://schemas.openxmlformats.org/officeDocument/2006/relationships/hyperlink" Id="rId54" Target="https://x.com/kimmonismus/status/2104960892114710626" TargetMode="External" /><Relationship Type="http://schemas.openxmlformats.org/officeDocument/2006/relationships/hyperlink" Id="rId51" Target="https://x.com/kimmonismus/status/2105052186401267864" TargetMode="External" /><Relationship Type="http://schemas.openxmlformats.org/officeDocument/2006/relationships/hyperlink" Id="rId43" Target="https://x.com/reach_vb/status/2104994032195883140" TargetMode="External" /><Relationship Type="http://schemas.openxmlformats.org/officeDocument/2006/relationships/hyperlink" Id="rId35" Target="https://x.com/scaling01/status/2104984068517478487" TargetMode="External" /><Relationship Type="http://schemas.openxmlformats.org/officeDocument/2006/relationships/hyperlink" Id="rId49" Target="https://x.com/sundarpichai/status/2105121763176894804" TargetMode="External" /><Relationship Type="http://schemas.openxmlformats.org/officeDocument/2006/relationships/hyperlink" Id="rId52" Target="https://x.com/teortaxesTex/status/2105044654521782296" TargetMode="External" /><Relationship Type="http://schemas.openxmlformats.org/officeDocument/2006/relationships/hyperlink" Id="rId58" Target="https://x.com/teortaxesTex/status/2105146671952716018" TargetMode="External" /><Relationship Type="http://schemas.openxmlformats.org/officeDocument/2006/relationships/hyperlink" Id="rId34" Target="https://x.com/theo/status/2105001431690600537" TargetMode="External" /><Relationship Type="http://schemas.openxmlformats.org/officeDocument/2006/relationships/hyperlink" Id="rId32" Target="https://x.com/theo/status/2105063015712465094" TargetMode="External" /><Relationship Type="http://schemas.openxmlformats.org/officeDocument/2006/relationships/hyperlink" Id="rId42" Target="https://x.com/thsottiaux/status/2104823812042940713" TargetMode="External" /><Relationship Type="http://schemas.openxmlformats.org/officeDocument/2006/relationships/hyperlink" Id="rId41" Target="https://x.com/thsottiaux/status/2104951965184925941" TargetMode="External" /><Relationship Type="http://schemas.openxmlformats.org/officeDocument/2006/relationships/hyperlink" Id="rId57" Target="https://x.com/zheanxu/status/21051199445561102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0" Target="https://x.com/AI21Labs/status/2104897430126796943" TargetMode="External" /><Relationship Type="http://schemas.openxmlformats.org/officeDocument/2006/relationships/hyperlink" Id="rId27" Target="https://x.com/ArtificialAnlys/status/2105025585332605357" TargetMode="External" /><Relationship Type="http://schemas.openxmlformats.org/officeDocument/2006/relationships/hyperlink" Id="rId33" Target="https://x.com/ArtificialAnlys/status/2105122114118590712" TargetMode="External" /><Relationship Type="http://schemas.openxmlformats.org/officeDocument/2006/relationships/hyperlink" Id="rId55" Target="https://x.com/ClementDelangue/status/2104960836796342729" TargetMode="External" /><Relationship Type="http://schemas.openxmlformats.org/officeDocument/2006/relationships/hyperlink" Id="rId48" Target="https://x.com/DavidSacks/status/2105060520327786914" TargetMode="External" /><Relationship Type="http://schemas.openxmlformats.org/officeDocument/2006/relationships/hyperlink" Id="rId56" Target="https://x.com/LASST_law/status/2105049582287606046" TargetMode="External" /><Relationship Type="http://schemas.openxmlformats.org/officeDocument/2006/relationships/hyperlink" Id="rId36" Target="https://x.com/OpenAI/status/2104984505677430978" TargetMode="External" /><Relationship Type="http://schemas.openxmlformats.org/officeDocument/2006/relationships/hyperlink" Id="rId37" Target="https://x.com/OpenAI/status/2104984507107717331" TargetMode="External" /><Relationship Type="http://schemas.openxmlformats.org/officeDocument/2006/relationships/hyperlink" Id="rId38" Target="https://x.com/OpenAI/status/2104984508454121795" TargetMode="External" /><Relationship Type="http://schemas.openxmlformats.org/officeDocument/2006/relationships/hyperlink" Id="rId39" Target="https://x.com/OpenAI/status/2104993966043320759" TargetMode="External" /><Relationship Type="http://schemas.openxmlformats.org/officeDocument/2006/relationships/hyperlink" Id="rId40" Target="https://x.com/OpenAI/status/2104993967985381673" TargetMode="External" /><Relationship Type="http://schemas.openxmlformats.org/officeDocument/2006/relationships/hyperlink" Id="rId24" Target="https://x.com/OpenAIDevs/status/2104993053002043870" TargetMode="External" /><Relationship Type="http://schemas.openxmlformats.org/officeDocument/2006/relationships/hyperlink" Id="rId25" Target="https://x.com/OpenAIDevs/status/2104993067942219873" TargetMode="External" /><Relationship Type="http://schemas.openxmlformats.org/officeDocument/2006/relationships/hyperlink" Id="rId26" Target="https://x.com/OpenAIDevs/status/2104993086099398854" TargetMode="External" /><Relationship Type="http://schemas.openxmlformats.org/officeDocument/2006/relationships/hyperlink" Id="rId44" Target="https://x.com/OpenAIDevs/status/2104997619152130278" TargetMode="External" /><Relationship Type="http://schemas.openxmlformats.org/officeDocument/2006/relationships/hyperlink" Id="rId46" Target="https://x.com/OpenAIDevs/status/2105003318917697873" TargetMode="External" /><Relationship Type="http://schemas.openxmlformats.org/officeDocument/2006/relationships/hyperlink" Id="rId28" Target="https://x.com/PawelHuryn/status/2105065401193279918" TargetMode="External" /><Relationship Type="http://schemas.openxmlformats.org/officeDocument/2006/relationships/hyperlink" Id="rId30" Target="https://x.com/ValsAI/status/2105152509417599052" TargetMode="External" /><Relationship Type="http://schemas.openxmlformats.org/officeDocument/2006/relationships/hyperlink" Id="rId31" Target="https://x.com/ValsAI/status/2105152511313346587" TargetMode="External" /><Relationship Type="http://schemas.openxmlformats.org/officeDocument/2006/relationships/hyperlink" Id="rId45" Target="https://x.com/cognition/status/2104996240190792029" TargetMode="External" /><Relationship Type="http://schemas.openxmlformats.org/officeDocument/2006/relationships/hyperlink" Id="rId50" Target="https://x.com/finkd/status/2105087367686025454" TargetMode="External" /><Relationship Type="http://schemas.openxmlformats.org/officeDocument/2006/relationships/hyperlink" Id="rId29" Target="https://x.com/gabriel1/status/2105041280254517289" TargetMode="External" /><Relationship Type="http://schemas.openxmlformats.org/officeDocument/2006/relationships/hyperlink" Id="rId59" Target="https://x.com/i/article/2104955648664584192" TargetMode="External" /><Relationship Type="http://schemas.openxmlformats.org/officeDocument/2006/relationships/hyperlink" Id="rId47" Target="https://x.com/i/article/2104981619266265088" TargetMode="External" /><Relationship Type="http://schemas.openxmlformats.org/officeDocument/2006/relationships/hyperlink" Id="rId53" Target="https://x.com/kimmonismus/status/2104838840506790299" TargetMode="External" /><Relationship Type="http://schemas.openxmlformats.org/officeDocument/2006/relationships/hyperlink" Id="rId54" Target="https://x.com/kimmonismus/status/2104960892114710626" TargetMode="External" /><Relationship Type="http://schemas.openxmlformats.org/officeDocument/2006/relationships/hyperlink" Id="rId51" Target="https://x.com/kimmonismus/status/2105052186401267864" TargetMode="External" /><Relationship Type="http://schemas.openxmlformats.org/officeDocument/2006/relationships/hyperlink" Id="rId43" Target="https://x.com/reach_vb/status/2104994032195883140" TargetMode="External" /><Relationship Type="http://schemas.openxmlformats.org/officeDocument/2006/relationships/hyperlink" Id="rId35" Target="https://x.com/scaling01/status/2104984068517478487" TargetMode="External" /><Relationship Type="http://schemas.openxmlformats.org/officeDocument/2006/relationships/hyperlink" Id="rId49" Target="https://x.com/sundarpichai/status/2105121763176894804" TargetMode="External" /><Relationship Type="http://schemas.openxmlformats.org/officeDocument/2006/relationships/hyperlink" Id="rId52" Target="https://x.com/teortaxesTex/status/2105044654521782296" TargetMode="External" /><Relationship Type="http://schemas.openxmlformats.org/officeDocument/2006/relationships/hyperlink" Id="rId58" Target="https://x.com/teortaxesTex/status/2105146671952716018" TargetMode="External" /><Relationship Type="http://schemas.openxmlformats.org/officeDocument/2006/relationships/hyperlink" Id="rId34" Target="https://x.com/theo/status/2105001431690600537" TargetMode="External" /><Relationship Type="http://schemas.openxmlformats.org/officeDocument/2006/relationships/hyperlink" Id="rId32" Target="https://x.com/theo/status/2105063015712465094" TargetMode="External" /><Relationship Type="http://schemas.openxmlformats.org/officeDocument/2006/relationships/hyperlink" Id="rId42" Target="https://x.com/thsottiaux/status/2104823812042940713" TargetMode="External" /><Relationship Type="http://schemas.openxmlformats.org/officeDocument/2006/relationships/hyperlink" Id="rId41" Target="https://x.com/thsottiaux/status/2104951965184925941" TargetMode="External" /><Relationship Type="http://schemas.openxmlformats.org/officeDocument/2006/relationships/hyperlink" Id="rId57" Target="https://x.com/zheanxu/status/21051199445561102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OpenAI DevDay: GPT-6.1 Sol Nears Astra at a Fraction of the Cost, Dots Launch, and Labs Sign a White House Accord</dc:title>
  <dc:creator>AI High Signal Digest</dc:creator>
  <cp:keywords/>
  <dcterms:created xsi:type="dcterms:W3CDTF">2026-10-01T03:02:07Z</dcterms:created>
  <dcterms:modified xsi:type="dcterms:W3CDTF">2026-10-01T03:02:07Z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2026-09-30</vt:lpwstr>
  </property>
</Properties>
</file>