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OpenAI Files for IPO as Sakana Launches Marlin and New Benchmarks Stay Tough</w:t>
      </w:r>
    </w:p>
    <w:p>
      <w:pPr>
        <w:pStyle w:val="Author"/>
      </w:pPr>
      <w:r>
        <w:t xml:space="preserve">AI News Digest</w:t>
      </w:r>
    </w:p>
    <w:p>
      <w:pPr>
        <w:pStyle w:val="Date"/>
      </w:pPr>
      <w:r>
        <w:t xml:space="preserve">2026-06-16</w:t>
      </w:r>
    </w:p>
    <w:bookmarkStart w:id="38" w:name="X1338547f94b0ee4d8f5bddb78a5f6a2f2def8bf"/>
    <w:p>
      <w:pPr>
        <w:pStyle w:val="Heading1"/>
      </w:pPr>
      <w:r>
        <w:t xml:space="preserve">OpenAI Files for IPO as Sakana Launches Marlin and New Benchmarks Stay Tough</w:t>
      </w:r>
    </w:p>
    <w:p>
      <w:pPr>
        <w:pStyle w:val="FirstParagraph"/>
      </w:pPr>
      <w:r>
        <w:rPr>
          <w:iCs/>
          <w:i/>
        </w:rPr>
        <w:t xml:space="preserve">By AI News Digest • June 16, 2026</w:t>
      </w:r>
    </w:p>
    <w:p>
      <w:pPr>
        <w:pStyle w:val="BodyText"/>
      </w:pPr>
      <w:r>
        <w:t xml:space="preserve">Frontier AI moved deeper into commercialization today, from OpenAI’s confidential S-1 filing to Sakana AI’s first product launch. New alignment efforts, a court ruling on Google’s AI Overviews, and hard new benchmarks kept attention on safety, liability, and the real limits of current agents.</w:t>
      </w:r>
    </w:p>
    <w:bookmarkStart w:id="20" w:name="the-big-picture"/>
    <w:p>
      <w:pPr>
        <w:pStyle w:val="Heading2"/>
      </w:pPr>
      <w:r>
        <w:t xml:space="preserve">The big picture</w:t>
      </w:r>
    </w:p>
    <w:p>
      <w:pPr>
        <w:pStyle w:val="FirstParagraph"/>
      </w:pPr>
      <w:r>
        <w:t xml:space="preserve">Today’s clearest signals pulled in two directions: frontier AI is getting more commercial, from OpenAI’s IPO filing to Sakana AI’s first product launch, while safety, liability, and capability measurement stayed close behind through Sequent’s alignment push, a German court ruling on AI Overviews, and tougher agent benchmarks [1, 2, 3].</w:t>
      </w:r>
    </w:p>
    <w:bookmarkEnd w:id="20"/>
    <w:bookmarkStart w:id="23" w:name="capital-and-products"/>
    <w:p>
      <w:pPr>
        <w:pStyle w:val="Heading2"/>
      </w:pPr>
      <w:r>
        <w:t xml:space="preserve">Capital and products</w:t>
      </w:r>
    </w:p>
    <w:bookmarkStart w:id="21" w:name="X177b4596c156fb1a4e7adac60fc0d33677263b2"/>
    <w:p>
      <w:pPr>
        <w:pStyle w:val="Heading3"/>
      </w:pPr>
      <w:r>
        <w:t xml:space="preserve">OpenAI moves toward an IPO as xAI costs come into view</w:t>
      </w:r>
    </w:p>
    <w:p>
      <w:pPr>
        <w:pStyle w:val="FirstParagraph"/>
      </w:pPr>
      <w:r>
        <w:t xml:space="preserve">OpenAI confidentially submitted a draft S-1 to the SEC for an IPO, without giving a timeline [1]. At roughly the same time, SpaceX’s IPO materials showed xAI spent $12.7 billion in capital expenditures in 2025, reported Q1 2026 operating losses of $2.47 billion, and signed a compute agreement under which Anthropic would pay $1.25 billion per month through 2029, with either side able to cancel on 90 days’ notice [1].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frontier model business is moving closer to public-market scrutiny, with clearer disclosure around how expensive compute and infrastructure have become.</w:t>
      </w:r>
    </w:p>
    <w:bookmarkEnd w:id="21"/>
    <w:bookmarkStart w:id="22" w:name="X21bf7f907f83ac05d3eb537dacf600b101a0fac"/>
    <w:p>
      <w:pPr>
        <w:pStyle w:val="Heading3"/>
      </w:pPr>
      <w:r>
        <w:t xml:space="preserve">Sakana AI turns long-horizon research into a product with Marlin</w:t>
      </w:r>
    </w:p>
    <w:p>
      <w:pPr>
        <w:pStyle w:val="FirstParagraph"/>
      </w:pPr>
      <w:r>
        <w:t xml:space="preserve">Sakana AI launched Marlin, its first commercial product, positioning it as a virtual CSO: users provide a research topic, and the system can work autonomously for up to roughly eight hours before returning summary slides and a report dozens of pages long [2, 4]. Sakana says Marlin productizes its AB-MCTS work and The AI Scientist research, and it is available through pay-per-use, Pro, Team, and Enterprise plans [4, 2].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This is a concrete shift from research reputation to a narrowly defined enterprise agent product built around long-horizon reasoning rather than instant chat.</w:t>
      </w:r>
    </w:p>
    <w:bookmarkEnd w:id="22"/>
    <w:bookmarkEnd w:id="23"/>
    <w:bookmarkStart w:id="26" w:name="governance-and-safety"/>
    <w:p>
      <w:pPr>
        <w:pStyle w:val="Heading2"/>
      </w:pPr>
      <w:r>
        <w:t xml:space="preserve">Governance and safety</w:t>
      </w:r>
    </w:p>
    <w:bookmarkStart w:id="24" w:name="X05b61e81f16d8d4ba2ad816b7b9810e5c9547fe"/>
    <w:p>
      <w:pPr>
        <w:pStyle w:val="Heading3"/>
      </w:pPr>
      <w:r>
        <w:t xml:space="preserve">Sequent launches with a theory-first alignment agenda</w:t>
      </w:r>
    </w:p>
    <w:p>
      <w:pPr>
        <w:pStyle w:val="FirstParagraph"/>
      </w:pPr>
      <w:r>
        <w:t xml:space="preserve">Researchers from the UK AI Security Institute and Timaeus have formed Sequent, a nonprofit aimed at developing alignment techniques that can provide principled confidence in superintelligent AI rather than what it describes as the more reactive methods used at major labs [3]. The group says it wants to reach 40-80 employees, raise $100-150 million initially, and work across scalable oversight, learning theory, heuristic arguments, game theory, and personas [3].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It is a notable attempt to build an independent alignment organization at meaningful scale, with both a research portfolio and a fundraising target large enough to matter.</w:t>
      </w:r>
    </w:p>
    <w:bookmarkEnd w:id="24"/>
    <w:bookmarkStart w:id="25" w:name="Xfbe87a586ad178bdfded075fc1f974833f5752c"/>
    <w:p>
      <w:pPr>
        <w:pStyle w:val="Heading3"/>
      </w:pPr>
      <w:r>
        <w:t xml:space="preserve">A German court makes Google responsible for false AI Overviews</w:t>
      </w:r>
    </w:p>
    <w:p>
      <w:pPr>
        <w:pStyle w:val="FirstParagraph"/>
      </w:pPr>
      <w:r>
        <w:t xml:space="preserve">A Munich court ruled that Google is liable when its AI Overviews generate false statements [1].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This is an important legal signal that AI-generated summaries may be treated as the platform’s own output when they are presented directly to users.</w:t>
      </w:r>
    </w:p>
    <w:bookmarkEnd w:id="25"/>
    <w:bookmarkEnd w:id="26"/>
    <w:bookmarkStart w:id="29" w:name="capability-checks"/>
    <w:p>
      <w:pPr>
        <w:pStyle w:val="Heading2"/>
      </w:pPr>
      <w:r>
        <w:t xml:space="preserve">Capability checks</w:t>
      </w:r>
    </w:p>
    <w:bookmarkStart w:id="27" w:name="X68525d1f940da8bdb6fe7f269774d5c533508f2"/>
    <w:p>
      <w:pPr>
        <w:pStyle w:val="Heading3"/>
      </w:pPr>
      <w:r>
        <w:t xml:space="preserve">New benchmarks keep coding and research-agent expectations grounded</w:t>
      </w:r>
    </w:p>
    <w:p>
      <w:pPr>
        <w:pStyle w:val="FirstParagraph"/>
      </w:pPr>
      <w:r>
        <w:t xml:space="preserve">Cognition’s FrontierCode benchmark packages 150 coding tasks across three difficulty tiers and currently produces low top scores, with Claude Opus 4.8 at 13.4% on Diamond and 34.3% on Main [3]. AARRI-Bench, from Xi’an Jiaotong and Xidian University, tests whether agents can function like research interns across 82 tasks; the top reported score is 68.3% for Claude-Opus-4.7 [3].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Both evals emphasize diligence, mergeability, and research process rather than one-shot demo performance, and both still leave substantial headroom above today’s best systems.</w:t>
      </w:r>
    </w:p>
    <w:bookmarkEnd w:id="27"/>
    <w:bookmarkStart w:id="28" w:name="Xbae1613b757eab0717764e016e0501a27d43e5a"/>
    <w:p>
      <w:pPr>
        <w:pStyle w:val="Heading3"/>
      </w:pPr>
      <w:r>
        <w:t xml:space="preserve">Xiaomi puts the spotlight on inference speed</w:t>
      </w:r>
    </w:p>
    <w:p>
      <w:pPr>
        <w:pStyle w:val="FirstParagraph"/>
      </w:pPr>
      <w:r>
        <w:t xml:space="preserve">Xiaomi said its 1 trillion-parameter MiMo-V2.5-Pro-UltraSpeed reaches 1,000 tokens per second on an 8-GPU commodity node using FP4 quantization, DFlash speculative decoding, and TileRT software [3].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claim shifts attention from raw parameter counts to deployment efficiency and the value of tightly coupling models with the inference stack.</w:t>
      </w:r>
    </w:p>
    <w:bookmarkEnd w:id="28"/>
    <w:bookmarkEnd w:id="29"/>
    <w:bookmarkStart w:id="37" w:name="one-smaller-but-telling-deployment"/>
    <w:p>
      <w:pPr>
        <w:pStyle w:val="Heading2"/>
      </w:pPr>
      <w:r>
        <w:t xml:space="preserve">One smaller but telling deployment</w:t>
      </w:r>
    </w:p>
    <w:bookmarkStart w:id="30" w:name="X4374ffaaec6c4f3698d0ac2c3b64f131c86dc27"/>
    <w:p>
      <w:pPr>
        <w:pStyle w:val="Heading3"/>
      </w:pPr>
      <w:r>
        <w:t xml:space="preserve">Alibaba offers an AI college-application advisor to 12.9 million test takers</w:t>
      </w:r>
    </w:p>
    <w:p>
      <w:pPr>
        <w:pStyle w:val="FirstParagraph"/>
      </w:pPr>
      <w:r>
        <w:t xml:space="preserve">Alibaba Qianwen launched a free AI advisor for China’s Gaokao preference-form process, making it available to 12.9 million exam takers [5]. Based on scores and preferred majors, it recommends high-potential, stable, and safety schools and adds analysis of how AI may affect those majors [5].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Whatever happens at the frontier, AI is also moving into mass-market decision support in high-stakes public-service settings.</w:t>
      </w:r>
    </w:p>
    <w:p>
      <w:r>
        <w:pict>
          <v:rect style="width:0;height:1.5pt" o:hralign="center" o:hrstd="t" o:hr="t"/>
        </w:pict>
      </w:r>
    </w:p>
    <w:bookmarkEnd w:id="30"/>
    <w:bookmarkStart w:id="36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1"/>
        </w:numPr>
        <w:pStyle w:val="Compact"/>
      </w:pPr>
      <w:hyperlink r:id="rId31">
        <w:r>
          <w:rPr>
            <w:rStyle w:val="Hyperlink"/>
          </w:rPr>
          <w:t xml:space="preserve">Elon Musk Sold Investors The Future. Now SpaceX Has To Build It.</w:t>
        </w:r>
      </w:hyperlink>
    </w:p>
    <w:p>
      <w:pPr>
        <w:numPr>
          <w:ilvl w:val="0"/>
          <w:numId w:val="1001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  <w:p>
      <w:pPr>
        <w:numPr>
          <w:ilvl w:val="0"/>
          <w:numId w:val="1001"/>
        </w:numPr>
        <w:pStyle w:val="Compact"/>
      </w:pPr>
      <w:hyperlink r:id="rId33">
        <w:r>
          <w:rPr>
            <w:rStyle w:val="Hyperlink"/>
          </w:rPr>
          <w:t xml:space="preserve">Import AI 461: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Alignment is not on track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; FrontierCode; and synthetic research interns</w:t>
        </w:r>
      </w:hyperlink>
    </w:p>
    <w:p>
      <w:pPr>
        <w:numPr>
          <w:ilvl w:val="0"/>
          <w:numId w:val="1001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@hardmaru</w:t>
        </w:r>
      </w:hyperlink>
    </w:p>
    <w:p>
      <w:pPr>
        <w:numPr>
          <w:ilvl w:val="0"/>
          <w:numId w:val="1001"/>
        </w:numPr>
        <w:pStyle w:val="Compact"/>
      </w:pPr>
      <w:hyperlink r:id="rId35">
        <w:r>
          <w:rPr>
            <w:rStyle w:val="Hyperlink"/>
          </w:rPr>
          <w:t xml:space="preserve">ChinAI #363: A College Admissions Advisor for 13 Million</w:t>
        </w:r>
      </w:hyperlink>
    </w:p>
    <w:bookmarkEnd w:id="36"/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5" Target="https://chinai.substack.com/p/chinai-363-chinas-first-college-admissions" TargetMode="External" /><Relationship Type="http://schemas.openxmlformats.org/officeDocument/2006/relationships/hyperlink" Id="rId33" Target="https://importai.substack.com/p/import-ai-461-alignment-is-not-on" TargetMode="External" /><Relationship Type="http://schemas.openxmlformats.org/officeDocument/2006/relationships/hyperlink" Id="rId31" Target="https://www.bigtechnology.com/p/elon-musk-sold-investors-the-future" TargetMode="External" /><Relationship Type="http://schemas.openxmlformats.org/officeDocument/2006/relationships/hyperlink" Id="rId32" Target="https://x.com/SakanaAILabs/status/2066528655539417135" TargetMode="External" /><Relationship Type="http://schemas.openxmlformats.org/officeDocument/2006/relationships/hyperlink" Id="rId34" Target="https://x.com/hardmaru/status/2066529282588094713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5" Target="https://chinai.substack.com/p/chinai-363-chinas-first-college-admissions" TargetMode="External" /><Relationship Type="http://schemas.openxmlformats.org/officeDocument/2006/relationships/hyperlink" Id="rId33" Target="https://importai.substack.com/p/import-ai-461-alignment-is-not-on" TargetMode="External" /><Relationship Type="http://schemas.openxmlformats.org/officeDocument/2006/relationships/hyperlink" Id="rId31" Target="https://www.bigtechnology.com/p/elon-musk-sold-investors-the-future" TargetMode="External" /><Relationship Type="http://schemas.openxmlformats.org/officeDocument/2006/relationships/hyperlink" Id="rId32" Target="https://x.com/SakanaAILabs/status/2066528655539417135" TargetMode="External" /><Relationship Type="http://schemas.openxmlformats.org/officeDocument/2006/relationships/hyperlink" Id="rId34" Target="https://x.com/hardmaru/status/206652928258809471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OpenAI Files for IPO as Sakana Launches Marlin and New Benchmarks Stay Tough</dc:title>
  <dc:creator>AI News Digest</dc:creator>
  <cp:keywords/>
  <dcterms:created xsi:type="dcterms:W3CDTF">2026-06-20T19:35:20Z</dcterms:created>
  <dcterms:modified xsi:type="dcterms:W3CDTF">2026-06-20T19:35:20Z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2026-06-16</vt:lpwstr>
  </property>
</Properties>
</file>