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25.jpg" ContentType="image/jpeg"/>
  <Override PartName="/word/media/rId30.jpg" ContentType="image/jpe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OpenAI Opens the Agent Runtime as AI Economics and Controls Move Upstream</w:t>
      </w:r>
    </w:p>
    <w:p>
      <w:pPr>
        <w:pStyle w:val="Author"/>
      </w:pPr>
      <w:r>
        <w:t xml:space="preserve">VC Tech Radar</w:t>
      </w:r>
    </w:p>
    <w:p>
      <w:pPr>
        <w:pStyle w:val="Date"/>
      </w:pPr>
      <w:r>
        <w:t xml:space="preserve">2026-09-11</w:t>
      </w:r>
    </w:p>
    <w:bookmarkStart w:id="48" w:name="X9c088898c4b86a42c10b21376700690eef43c16"/>
    <w:p>
      <w:pPr>
        <w:pStyle w:val="Heading1"/>
      </w:pPr>
      <w:r>
        <w:t xml:space="preserve">OpenAI Opens the Agent Runtime as AI Economics and Controls Move Upstream</w:t>
      </w:r>
    </w:p>
    <w:p>
      <w:pPr>
        <w:pStyle w:val="FirstParagraph"/>
      </w:pPr>
      <w:r>
        <w:rPr>
          <w:iCs/>
          <w:i/>
        </w:rPr>
        <w:t xml:space="preserve">By VC Tech Radar • September 11, 2026</w:t>
      </w:r>
    </w:p>
    <w:p>
      <w:pPr>
        <w:pStyle w:val="BodyText"/>
      </w:pPr>
      <w:r>
        <w:t xml:space="preserve">OpenAI’s Agents API makes the Codex harness a public runtime as enterprise deployments demonstrate that open models, routing, and context controls are becoming the economic layer of AI. The period also surfaces investable early signals in agent testing, AI-guided biotech, and AI-enabled marketplaces, alongside sharper labor, safety, and compute risks.</w:t>
      </w:r>
    </w:p>
    <w:p>
      <w:pPr>
        <w:pStyle w:val="BlockText"/>
      </w:pPr>
      <w:r>
        <w:t xml:space="preserve">Coverage is incomplete: some monitored sources or documents could not be processed. This brief covers the available verified material.</w:t>
      </w:r>
    </w:p>
    <w:bookmarkStart w:id="20" w:name="funding-deals"/>
    <w:p>
      <w:pPr>
        <w:pStyle w:val="Heading2"/>
      </w:pPr>
      <w:r>
        <w:t xml:space="preserve">1. Funding &amp; Deals</w:t>
      </w:r>
    </w:p>
    <w:p>
      <w:pPr>
        <w:pStyle w:val="FirstParagraph"/>
      </w:pPr>
      <w:r>
        <w:rPr>
          <w:bCs/>
          <w:b/>
        </w:rPr>
        <w:t xml:space="preserve">Highstock raised a $30M Series A led by a16z, with GreylockVC, AbstractVC, Daybreak Fund, and angels participating.</w:t>
      </w:r>
      <w:r>
        <w:t xml:space="preserve"> </w:t>
      </w:r>
      <w:r>
        <w:t xml:space="preserve">The company is expanding from its beauty-market foothold into apparel. a16z describes Highstock as an AI-powered B2B marketplace that matches excess brand inventory with vetted wholesale buyers and handles matching, logistics, compliance, and payments; it says the platform has more than $1B of inventory listed, works with 100+ major brands, and has kept more than 10M pounds of product out of landfills. [1, 2] The underwriting thesis is unusually specific: AI may make marketplaces that were previously too labor-intensive to operate financially viable, rather than merely adding automation to an existing software product. [1]</w:t>
      </w:r>
    </w:p>
    <w:p>
      <w:pPr>
        <w:pStyle w:val="BodyText"/>
      </w:pPr>
      <w:r>
        <w:rPr>
          <w:bCs/>
          <w:b/>
        </w:rPr>
        <w:t xml:space="preserve">Sound Ventures is targeting a $300M fifth fund and is adding tech journalist Alex Heath as a partner.</w:t>
      </w:r>
      <w:r>
        <w:t xml:space="preserve"> </w:t>
      </w:r>
      <w:r>
        <w:t xml:space="preserve">Newcomer reports an expected first close this month; Heath will continue his</w:t>
      </w:r>
      <w:r>
        <w:t xml:space="preserve"> </w:t>
      </w:r>
      <w:r>
        <w:rPr>
          <w:iCs/>
          <w:i/>
        </w:rPr>
        <w:t xml:space="preserve">Sources</w:t>
      </w:r>
      <w:r>
        <w:t xml:space="preserve"> </w:t>
      </w:r>
      <w:r>
        <w:t xml:space="preserve">newsletter and podcast independently while investing in startups for the first time. The firm says it will continue using SPVs and reports nearly $2B in AUM, with earlier checks into OpenAI and Anthropic among its AI track record. [3]</w:t>
      </w:r>
    </w:p>
    <w:bookmarkEnd w:id="20"/>
    <w:bookmarkStart w:id="21" w:name="emerging-teams"/>
    <w:p>
      <w:pPr>
        <w:pStyle w:val="Heading2"/>
      </w:pPr>
      <w:r>
        <w:t xml:space="preserve">2. Emerging Teams</w:t>
      </w:r>
    </w:p>
    <w:p>
      <w:pPr>
        <w:pStyle w:val="FirstParagraph"/>
      </w:pPr>
      <w:r>
        <w:rPr>
          <w:bCs/>
          <w:b/>
        </w:rPr>
        <w:t xml:space="preserve">FetchSandbox is an early, self-reported traction signal for agent testing infrastructure.</w:t>
      </w:r>
      <w:r>
        <w:t xml:space="preserve"> </w:t>
      </w:r>
      <w:r>
        <w:t xml:space="preserve">Two founders say that 2.5 months after launch they have 4,200+ MCP installs, 3,000 MAU, and 1,200 sandbox runs per day. Its product creates stateful</w:t>
      </w:r>
      <w:r>
        <w:t xml:space="preserve"> </w:t>
      </w:r>
      <w:r>
        <w:t xml:space="preserve">“</w:t>
      </w:r>
      <w:r>
        <w:t xml:space="preserve">twin sandboxes</w:t>
      </w:r>
      <w:r>
        <w:t xml:space="preserve">”</w:t>
      </w:r>
      <w:r>
        <w:t xml:space="preserve"> </w:t>
      </w:r>
      <w:r>
        <w:t xml:space="preserve">for chained Stripe, GitHub, Slack, and Salesforce workflows; the founders report 50+ live twins, including 14 with drift detection that learns normal behavior and flags changes. Unprompted DevRel calls after Product Hunt are a useful demand signal, but the company is still running on one machine, making infrastructure scale the immediate diligence question. [4]</w:t>
      </w:r>
    </w:p>
    <w:p>
      <w:pPr>
        <w:pStyle w:val="BodyText"/>
      </w:pPr>
      <w:r>
        <w:rPr>
          <w:bCs/>
          <w:b/>
        </w:rPr>
        <w:t xml:space="preserve">New Limit is pairing frontier-model search with wet-lab iteration in epigenetic reprogramming.</w:t>
      </w:r>
      <w:r>
        <w:t xml:space="preserve"> </w:t>
      </w:r>
      <w:r>
        <w:t xml:space="preserve">Brian Armstrong identifies Jacob Kimmel as CEO and Blake Buyers and Greg Johnson as co-founders; Armstrong supplied initial capital and company-building help but remains an investor and board member rather than the operating CEO. He says the South San Francisco lab has roughly 50–60 people and uses a model to recommend transcription-factor experiments, followed by pooled screens, functional assays, and animal studies. The team reports reprogramming at least one human cell type in humanized mice, is testing non-human primates, and plans a first Phase 1 trial next year. Its first programs target liver, vascular, and immune/T cells, with alcoholic liver disease as the initial liver indication. [5] The opportunity is high-upside, but the evidence described remains preclinical until the planned human trials produce results. [5]</w:t>
      </w:r>
    </w:p>
    <w:bookmarkEnd w:id="21"/>
    <w:bookmarkStart w:id="22" w:name="ai-tech-breakthroughs"/>
    <w:p>
      <w:pPr>
        <w:pStyle w:val="Heading2"/>
      </w:pPr>
      <w:r>
        <w:t xml:space="preserve">3. AI &amp; Tech Breakthroughs</w:t>
      </w:r>
    </w:p>
    <w:p>
      <w:pPr>
        <w:pStyle w:val="FirstParagraph"/>
      </w:pPr>
      <w:r>
        <w:rPr>
          <w:bCs/>
          <w:b/>
        </w:rPr>
        <w:t xml:space="preserve">OpenAI has turned the Codex harness into a public agent-runtime product.</w:t>
      </w:r>
      <w:r>
        <w:t xml:space="preserve"> </w:t>
      </w:r>
      <w:r>
        <w:t xml:space="preserve">Its Agents API public beta lets developers specify a task, model, tools, and environment in one call; OpenAI maintains the harness while developers choose an OpenAI-managed sandbox, their own infrastructure, or a partner environment. [6] The API adds automatic context compaction, tool search, programmatic parallel and chained calls, MCP support, and parallel subagents with independent context. [6] The core harness is open source, while beta users pay for tokens and tools rather than an additional Agents API fee. [6] The investment signal is a shift in value from model access alone toward orchestration, context management, tool permissions, and runtime boundaries; those boundaries—not the one-call demo—are the production diligence surface.</w:t>
      </w:r>
    </w:p>
    <w:p>
      <w:pPr>
        <w:pStyle w:val="BodyText"/>
      </w:pPr>
      <w:r>
        <w:rPr>
          <w:bCs/>
          <w:b/>
        </w:rPr>
        <w:t xml:space="preserve">Robotics research is beginning to test web-scale pretraining on customer-relevant tasks.</w:t>
      </w:r>
      <w:r>
        <w:t xml:space="preserve"> </w:t>
      </w:r>
      <w:r>
        <w:t xml:space="preserve">A research post reports that scaling model size and general web-video pretraining improved a post-trained policy on one industrial manipulation task, with better web-video prediction associated with better deployment performance. [7] Vinod Khosla says RhodaAI evaluated the result on a real industrial task using a customer-style metric rather than a lab benchmark. [8] The result is promising but narrow: it is evidence for a transfer hypothesis, not yet a general robotics scaling law.</w:t>
      </w:r>
    </w:p>
    <w:p>
      <w:pPr>
        <w:pStyle w:val="BodyText"/>
      </w:pPr>
      <w:r>
        <w:rPr>
          <w:bCs/>
          <w:b/>
        </w:rPr>
        <w:t xml:space="preserve">Model competition is also pushing toward smaller, vision-capable systems.</w:t>
      </w:r>
      <w:r>
        <w:t xml:space="preserve"> </w:t>
      </w:r>
      <w:r>
        <w:t xml:space="preserve">DeepSeek positions V4.1-Flash as the smallest model in a new architecture family, with native visual understanding, faster inference, higher throughput, and a path to scaling larger models. [9]</w:t>
      </w:r>
    </w:p>
    <w:bookmarkEnd w:id="22"/>
    <w:bookmarkStart w:id="23" w:name="market-signals"/>
    <w:p>
      <w:pPr>
        <w:pStyle w:val="Heading2"/>
      </w:pPr>
      <w:r>
        <w:t xml:space="preserve">4. Market Signals</w:t>
      </w:r>
    </w:p>
    <w:p>
      <w:pPr>
        <w:pStyle w:val="FirstParagraph"/>
      </w:pPr>
      <w:r>
        <w:rPr>
          <w:bCs/>
          <w:b/>
        </w:rPr>
        <w:t xml:space="preserve">Open-weight models and routing are becoming direct AI gross-margin levers.</w:t>
      </w:r>
      <w:r>
        <w:t xml:space="preserve"> </w:t>
      </w:r>
      <w:r>
        <w:t xml:space="preserve">The Pragmatic Engineer reports that Uber cut cost per AI request by 34% and per session by 52% while usage increased and total cost stayed flat; its optimization stack combines open-weight inference, weekly benchmarking, cheaper subagents, prompt caching, and context compaction. Open models cost 2–20x less in Uber’s comparison, with the most expensive open model at $0.30 per code review versus $0.50–$2.50 for frontier models. [10] Pinterest reports open-model transaction costs below 8% of comparable closed models, while AT&amp;T cut AI costs by 56% with a reported 2% quality decline after routing workloads toward open models. [10] The article’s cross-company synthesis is that open models deliver the largest savings, followed by smart routing; model choice, evaluation, and context optimization are becoming a core infrastructure layer rather than an implementation detail. [10]</w:t>
      </w:r>
    </w:p>
    <w:p>
      <w:pPr>
        <w:pStyle w:val="BodyText"/>
      </w:pPr>
      <w:r>
        <w:rPr>
          <w:bCs/>
          <w:b/>
        </w:rPr>
        <w:t xml:space="preserve">Anthropic is putting distributional risk into the mainstream AI investment conversation.</w:t>
      </w:r>
      <w:r>
        <w:t xml:space="preserve"> </w:t>
      </w:r>
      <w:r>
        <w:t xml:space="preserve">Its Version 1.0 scenario explorer models three non-predictive outcomes for 2030: U.S. GDP 1.6%, 8.3%, or 32.4% above the no-AI path. The extreme case assumes AI is more productive than humans at most knowledge-work tasks, performs nearly all of them autonomously, and is adopted rapidly alongside recursive self-improvement; it produces historic-level unemployment risk. [11] Knowledge-worker wages are essentially flat in the substantial scenario and fall by more than 10% in the extreme scenario, while more of the growth flows to capital. [11] Anthropic stresses that the model omits policy responses, business cycles, financial disruption, aggregate-demand effects from data-center buildout, and hyper-capable robots; it should be used as a framework for thinking, not a forecast. [11]</w:t>
      </w:r>
    </w:p>
    <w:p>
      <w:pPr>
        <w:pStyle w:val="BodyText"/>
      </w:pPr>
      <w:r>
        <w:rPr>
          <w:bCs/>
          <w:b/>
        </w:rPr>
        <w:t xml:space="preserve">Safety reporting and compute constraints are becoming operational market signals.</w:t>
      </w:r>
      <w:r>
        <w:t xml:space="preserve"> </w:t>
      </w:r>
      <w:r>
        <w:t xml:space="preserve">Anthropic says its latest threat-intelligence report covers sophisticated misuse attempts involving cyberattacks, influence operations, surveillance, biology, and weapons; it says every operation described was disrupted, while acknowledging that the cases are atypical and intended to show where safeguards work and need improvement. [12] Separately,</w:t>
      </w:r>
      <w:r>
        <w:t xml:space="preserve"> </w:t>
      </w:r>
      <w:r>
        <w:rPr>
          <w:iCs/>
          <w:i/>
        </w:rPr>
        <w:t xml:space="preserve">The Pulse</w:t>
      </w:r>
      <w:r>
        <w:t xml:space="preserve"> </w:t>
      </w:r>
      <w:r>
        <w:t xml:space="preserve">flags a new CPU shortage driven by AI agents’ heavier tool usage, following earlier GPU and memory shortages. [13] For investors, the implication is that agent deployment will be constrained simultaneously by unit economics, hardware capacity, and the quality of enforcement around autonomous tool use.</w:t>
      </w:r>
    </w:p>
    <w:bookmarkEnd w:id="23"/>
    <w:bookmarkStart w:id="47" w:name="worth-your-time"/>
    <w:p>
      <w:pPr>
        <w:pStyle w:val="Heading2"/>
      </w:pPr>
      <w:r>
        <w:t xml:space="preserve">5. Worth Your Time</w:t>
      </w:r>
    </w:p>
    <w:p>
      <w:pPr>
        <w:numPr>
          <w:ilvl w:val="0"/>
          <w:numId w:val="1001"/>
        </w:numPr>
      </w:pPr>
      <w:r>
        <w:rPr>
          <w:bCs/>
          <w:b/>
        </w:rPr>
        <w:t xml:space="preserve">Watch —</w:t>
      </w:r>
      <w:r>
        <w:rPr>
          <w:bCs/>
          <w:b/>
        </w:rPr>
        <w:t xml:space="preserve"> </w:t>
      </w:r>
      <w:hyperlink r:id="rId24">
        <w:r>
          <w:rPr>
            <w:rStyle w:val="Hyperlink"/>
            <w:bCs/>
            <w:b/>
          </w:rPr>
          <w:t xml:space="preserve">Why Investors Are Rethinking Everything for the AI Era</w:t>
        </w:r>
      </w:hyperlink>
      <w:r>
        <w:rPr>
          <w:bCs/>
          <w:b/>
        </w:rPr>
        <w:t xml:space="preserve">.</w:t>
      </w:r>
      <w:r>
        <w:t xml:space="preserve"> </w:t>
      </w:r>
      <w:r>
        <w:t xml:space="preserve">The most actionable segment is the warning that accelerator companies can claim rapid ARR before a renewal cycle exists; the speakers recommend testing demand through customer conversations, deployment, usage, and engagement rather than accepting headline ARR. [14]</w:t>
      </w:r>
      <w:r>
        <w:t xml:space="preserve"> </w:t>
      </w:r>
      <w:hyperlink r:id="rId28">
        <w:r>
          <w:drawing>
            <wp:inline>
              <wp:extent cx="5334000" cy="4000500"/>
              <wp:effectExtent b="0" l="0" r="0" t="0"/>
              <wp:docPr descr="Why Investors Are Rethinking Everything for the AI Era" title="" id="26" name="Picture"/>
              <a:graphic>
                <a:graphicData uri="http://schemas.openxmlformats.org/drawingml/2006/picture">
                  <pic:pic>
                    <pic:nvPicPr>
                      <pic:cNvPr descr="https://img.youtube.com/vi/bsdJd2VeLvg/hqdefault.jpg" id="27" name="Picture"/>
                      <pic:cNvPicPr>
                        <a:picLocks noChangeArrowheads="1" noChangeAspect="1"/>
                      </pic:cNvPicPr>
                    </pic:nvPicPr>
                    <pic:blipFill>
                      <a:blip r:embed="rId25"/>
                      <a:stretch>
                        <a:fillRect/>
                      </a:stretch>
                    </pic:blipFill>
                    <pic:spPr bwMode="auto">
                      <a:xfrm>
                        <a:off x="0" y="0"/>
                        <a:ext cx="5334000" cy="4000500"/>
                      </a:xfrm>
                      <a:prstGeom prst="rect">
                        <a:avLst/>
                      </a:prstGeom>
                      <a:noFill/>
                      <a:ln w="9525">
                        <a:noFill/>
                        <a:headEnd/>
                        <a:tailEnd/>
                      </a:ln>
                    </pic:spPr>
                  </pic:pic>
                </a:graphicData>
              </a:graphic>
            </wp:inline>
          </w:drawing>
        </w:r>
      </w:hyperlink>
      <w:r>
        <w:t xml:space="preserve"> </w:t>
      </w:r>
      <w:r>
        <w:rPr>
          <w:iCs/>
          <w:i/>
        </w:rPr>
        <w:t xml:space="preserve">Why Investors Are Rethinking Everything for the AI Era (21:26)</w:t>
      </w:r>
    </w:p>
    <w:p>
      <w:pPr>
        <w:numPr>
          <w:ilvl w:val="0"/>
          <w:numId w:val="1001"/>
        </w:numPr>
      </w:pPr>
      <w:r>
        <w:rPr>
          <w:bCs/>
          <w:b/>
        </w:rPr>
        <w:t xml:space="preserve">Watch —</w:t>
      </w:r>
      <w:r>
        <w:rPr>
          <w:bCs/>
          <w:b/>
        </w:rPr>
        <w:t xml:space="preserve"> </w:t>
      </w:r>
      <w:hyperlink r:id="rId29">
        <w:r>
          <w:rPr>
            <w:rStyle w:val="Hyperlink"/>
            <w:bCs/>
            <w:b/>
          </w:rPr>
          <w:t xml:space="preserve">Coinbase’s Everything Exchange: Agentic Finance, Stablecoins &amp; Tokenization</w:t>
        </w:r>
      </w:hyperlink>
      <w:r>
        <w:rPr>
          <w:bCs/>
          <w:b/>
        </w:rPr>
        <w:t xml:space="preserve">.</w:t>
      </w:r>
      <w:r>
        <w:t xml:space="preserve"> </w:t>
      </w:r>
      <w:r>
        <w:t xml:space="preserve">The New Limit segment is a compact case study in how a technically ambitious AI-biotech company moves from model-guided experiment selection to animal testing and a planned clinical program. [5]</w:t>
      </w:r>
      <w:r>
        <w:t xml:space="preserve"> </w:t>
      </w:r>
      <w:hyperlink r:id="rId33">
        <w:r>
          <w:drawing>
            <wp:inline>
              <wp:extent cx="5334000" cy="4000500"/>
              <wp:effectExtent b="0" l="0" r="0" t="0"/>
              <wp:docPr descr="Coinbase’s Everything Exchange: Agentic Finance, Stablecoins &amp; Tokenization with CEO Brian Armstrong" title="" id="31" name="Picture"/>
              <a:graphic>
                <a:graphicData uri="http://schemas.openxmlformats.org/drawingml/2006/picture">
                  <pic:pic>
                    <pic:nvPicPr>
                      <pic:cNvPr descr="https://img.youtube.com/vi/uLDK4l_-gUE/hqdefault.jpg" id="32" name="Picture"/>
                      <pic:cNvPicPr>
                        <a:picLocks noChangeArrowheads="1" noChangeAspect="1"/>
                      </pic:cNvPicPr>
                    </pic:nvPicPr>
                    <pic:blipFill>
                      <a:blip r:embed="rId30"/>
                      <a:stretch>
                        <a:fillRect/>
                      </a:stretch>
                    </pic:blipFill>
                    <pic:spPr bwMode="auto">
                      <a:xfrm>
                        <a:off x="0" y="0"/>
                        <a:ext cx="5334000" cy="4000500"/>
                      </a:xfrm>
                      <a:prstGeom prst="rect">
                        <a:avLst/>
                      </a:prstGeom>
                      <a:noFill/>
                      <a:ln w="9525">
                        <a:noFill/>
                        <a:headEnd/>
                        <a:tailEnd/>
                      </a:ln>
                    </pic:spPr>
                  </pic:pic>
                </a:graphicData>
              </a:graphic>
            </wp:inline>
          </w:drawing>
        </w:r>
      </w:hyperlink>
      <w:r>
        <w:t xml:space="preserve"> </w:t>
      </w:r>
      <w:r>
        <w:rPr>
          <w:iCs/>
          <w:i/>
        </w:rPr>
        <w:t xml:space="preserve">Coinbase’s Everything Exchange: Agentic Finance, Stablecoins &amp; Tokenization with CEO Brian Armstrong (27:42)</w:t>
      </w:r>
    </w:p>
    <w:p>
      <w:pPr>
        <w:numPr>
          <w:ilvl w:val="0"/>
          <w:numId w:val="1001"/>
        </w:numPr>
      </w:pPr>
      <w:r>
        <w:rPr>
          <w:bCs/>
          <w:b/>
        </w:rPr>
        <w:t xml:space="preserve">Read —</w:t>
      </w:r>
      <w:r>
        <w:rPr>
          <w:bCs/>
          <w:b/>
        </w:rPr>
        <w:t xml:space="preserve"> </w:t>
      </w:r>
      <w:hyperlink r:id="rId34">
        <w:r>
          <w:rPr>
            <w:rStyle w:val="Hyperlink"/>
            <w:bCs/>
            <w:b/>
          </w:rPr>
          <w:t xml:space="preserve">The Pulse: tech companies move to open AI models</w:t>
        </w:r>
      </w:hyperlink>
      <w:r>
        <w:rPr>
          <w:bCs/>
          <w:b/>
        </w:rPr>
        <w:t xml:space="preserve">.</w:t>
      </w:r>
      <w:r>
        <w:t xml:space="preserve"> </w:t>
      </w:r>
      <w:r>
        <w:t xml:space="preserve">It is useful diligence material for comparing open-model economics, routing, benchmarking, and context controls across Uber, Pinterest, AT&amp;T, Stripe, Coinbase, and Ramp. [10]</w:t>
      </w:r>
    </w:p>
    <w:p>
      <w:r>
        <w:pict>
          <v:rect style="width:0;height:1.5pt" o:hralign="center" o:hrstd="t" o:hr="t"/>
        </w:pict>
      </w:r>
    </w:p>
    <w:bookmarkStart w:id="46" w:name="sources"/>
    <w:p>
      <w:pPr>
        <w:pStyle w:val="Heading3"/>
      </w:pPr>
      <w:r>
        <w:t xml:space="preserve">Sources</w:t>
      </w:r>
    </w:p>
    <w:p>
      <w:pPr>
        <w:numPr>
          <w:ilvl w:val="0"/>
          <w:numId w:val="1002"/>
        </w:numPr>
        <w:pStyle w:val="Compact"/>
      </w:pPr>
      <w:hyperlink r:id="rId35">
        <w:r>
          <w:rPr>
            <w:rStyle w:val="Hyperlink"/>
          </w:rPr>
          <w:t xml:space="preserve">𝕏 post by</w:t>
        </w:r>
        <w:r>
          <w:rPr>
            <w:rStyle w:val="Hyperlink"/>
          </w:rPr>
          <w:t xml:space="preserve"> </w:t>
        </w:r>
        <w:r>
          <w:rPr>
            <w:rStyle w:val="Hyperlink"/>
          </w:rPr>
          <w:t xml:space="preserve">@camillevanhorne</w:t>
        </w:r>
      </w:hyperlink>
    </w:p>
    <w:p>
      <w:pPr>
        <w:numPr>
          <w:ilvl w:val="0"/>
          <w:numId w:val="1002"/>
        </w:numPr>
        <w:pStyle w:val="Compact"/>
      </w:pPr>
      <w:hyperlink r:id="rId36">
        <w:r>
          <w:rPr>
            <w:rStyle w:val="Hyperlink"/>
          </w:rPr>
          <w:t xml:space="preserve">𝕏 post by</w:t>
        </w:r>
        <w:r>
          <w:rPr>
            <w:rStyle w:val="Hyperlink"/>
          </w:rPr>
          <w:t xml:space="preserve"> </w:t>
        </w:r>
        <w:r>
          <w:rPr>
            <w:rStyle w:val="Hyperlink"/>
          </w:rPr>
          <w:t xml:space="preserve">@a16z</w:t>
        </w:r>
      </w:hyperlink>
    </w:p>
    <w:p>
      <w:pPr>
        <w:numPr>
          <w:ilvl w:val="0"/>
          <w:numId w:val="1002"/>
        </w:numPr>
        <w:pStyle w:val="Compact"/>
      </w:pPr>
      <w:hyperlink r:id="rId37">
        <w:r>
          <w:rPr>
            <w:rStyle w:val="Hyperlink"/>
          </w:rPr>
          <w:t xml:space="preserve">EXCLUSIVE: Tech Reporter Alex Heath Turns VC, Joins Sound Ventures</w:t>
        </w:r>
      </w:hyperlink>
    </w:p>
    <w:p>
      <w:pPr>
        <w:numPr>
          <w:ilvl w:val="0"/>
          <w:numId w:val="1002"/>
        </w:numPr>
        <w:pStyle w:val="Compact"/>
      </w:pPr>
      <w:hyperlink r:id="rId38">
        <w:r>
          <w:rPr>
            <w:rStyle w:val="Hyperlink"/>
          </w:rPr>
          <w:t xml:space="preserve">r/SaaS post by u/Common_Dream9420</w:t>
        </w:r>
      </w:hyperlink>
    </w:p>
    <w:p>
      <w:pPr>
        <w:numPr>
          <w:ilvl w:val="0"/>
          <w:numId w:val="1002"/>
        </w:numPr>
        <w:pStyle w:val="Compact"/>
      </w:pPr>
      <w:hyperlink r:id="rId29">
        <w:r>
          <w:rPr>
            <w:rStyle w:val="Hyperlink"/>
          </w:rPr>
          <w:t xml:space="preserve">Coinbase’s Everything Exchange: Agentic Finance, Stablecoins &amp; Tokenization with CEO Brian Armstrong</w:t>
        </w:r>
      </w:hyperlink>
    </w:p>
    <w:p>
      <w:pPr>
        <w:numPr>
          <w:ilvl w:val="0"/>
          <w:numId w:val="1002"/>
        </w:numPr>
        <w:pStyle w:val="Compact"/>
      </w:pPr>
      <w:hyperlink r:id="rId39">
        <w:r>
          <w:rPr>
            <w:rStyle w:val="Hyperlink"/>
          </w:rPr>
          <w:t xml:space="preserve">Introducing the Agents API | OpenAI</w:t>
        </w:r>
      </w:hyperlink>
    </w:p>
    <w:p>
      <w:pPr>
        <w:numPr>
          <w:ilvl w:val="0"/>
          <w:numId w:val="1002"/>
        </w:numPr>
        <w:pStyle w:val="Compact"/>
      </w:pPr>
      <w:hyperlink r:id="rId40">
        <w:r>
          <w:rPr>
            <w:rStyle w:val="Hyperlink"/>
          </w:rPr>
          <w:t xml:space="preserve">𝕏 post by</w:t>
        </w:r>
        <w:r>
          <w:rPr>
            <w:rStyle w:val="Hyperlink"/>
          </w:rPr>
          <w:t xml:space="preserve"> </w:t>
        </w:r>
        <w:r>
          <w:rPr>
            <w:rStyle w:val="Hyperlink"/>
          </w:rPr>
          <w:t xml:space="preserve">@tongzhou_mu</w:t>
        </w:r>
      </w:hyperlink>
    </w:p>
    <w:p>
      <w:pPr>
        <w:numPr>
          <w:ilvl w:val="0"/>
          <w:numId w:val="1002"/>
        </w:numPr>
        <w:pStyle w:val="Compact"/>
      </w:pPr>
      <w:hyperlink r:id="rId41">
        <w:r>
          <w:rPr>
            <w:rStyle w:val="Hyperlink"/>
          </w:rPr>
          <w:t xml:space="preserve">𝕏 post by</w:t>
        </w:r>
        <w:r>
          <w:rPr>
            <w:rStyle w:val="Hyperlink"/>
          </w:rPr>
          <w:t xml:space="preserve"> </w:t>
        </w:r>
        <w:r>
          <w:rPr>
            <w:rStyle w:val="Hyperlink"/>
          </w:rPr>
          <w:t xml:space="preserve">@vkhosla</w:t>
        </w:r>
      </w:hyperlink>
    </w:p>
    <w:p>
      <w:pPr>
        <w:numPr>
          <w:ilvl w:val="0"/>
          <w:numId w:val="1002"/>
        </w:numPr>
        <w:pStyle w:val="Compact"/>
      </w:pPr>
      <w:hyperlink r:id="rId42">
        <w:r>
          <w:rPr>
            <w:rStyle w:val="Hyperlink"/>
          </w:rPr>
          <w:t xml:space="preserve">𝕏 post by</w:t>
        </w:r>
        <w:r>
          <w:rPr>
            <w:rStyle w:val="Hyperlink"/>
          </w:rPr>
          <w:t xml:space="preserve"> </w:t>
        </w:r>
        <w:r>
          <w:rPr>
            <w:rStyle w:val="Hyperlink"/>
          </w:rPr>
          <w:t xml:space="preserve">@deepseek_ai</w:t>
        </w:r>
      </w:hyperlink>
    </w:p>
    <w:p>
      <w:pPr>
        <w:numPr>
          <w:ilvl w:val="0"/>
          <w:numId w:val="1002"/>
        </w:numPr>
        <w:pStyle w:val="Compact"/>
      </w:pPr>
      <w:hyperlink r:id="rId34">
        <w:r>
          <w:rPr>
            <w:rStyle w:val="Hyperlink"/>
          </w:rPr>
          <w:t xml:space="preserve">The Pulse: tech companies move to open AI models</w:t>
        </w:r>
      </w:hyperlink>
    </w:p>
    <w:p>
      <w:pPr>
        <w:numPr>
          <w:ilvl w:val="0"/>
          <w:numId w:val="1002"/>
        </w:numPr>
        <w:pStyle w:val="Compact"/>
      </w:pPr>
      <w:hyperlink r:id="rId43">
        <w:r>
          <w:rPr>
            <w:rStyle w:val="Hyperlink"/>
          </w:rPr>
          <w:t xml:space="preserve">Scenarios for our Economic Future</w:t>
        </w:r>
      </w:hyperlink>
    </w:p>
    <w:p>
      <w:pPr>
        <w:numPr>
          <w:ilvl w:val="0"/>
          <w:numId w:val="1002"/>
        </w:numPr>
        <w:pStyle w:val="Compact"/>
      </w:pPr>
      <w:hyperlink r:id="rId44">
        <w:r>
          <w:rPr>
            <w:rStyle w:val="Hyperlink"/>
          </w:rPr>
          <w:t xml:space="preserve">𝕏 post by</w:t>
        </w:r>
        <w:r>
          <w:rPr>
            <w:rStyle w:val="Hyperlink"/>
          </w:rPr>
          <w:t xml:space="preserve"> </w:t>
        </w:r>
        <w:r>
          <w:rPr>
            <w:rStyle w:val="Hyperlink"/>
          </w:rPr>
          <w:t xml:space="preserve">@AnthropicAI</w:t>
        </w:r>
      </w:hyperlink>
    </w:p>
    <w:p>
      <w:pPr>
        <w:numPr>
          <w:ilvl w:val="0"/>
          <w:numId w:val="1002"/>
        </w:numPr>
        <w:pStyle w:val="Compact"/>
      </w:pPr>
      <w:hyperlink r:id="rId45">
        <w:r>
          <w:rPr>
            <w:rStyle w:val="Hyperlink"/>
          </w:rPr>
          <w:t xml:space="preserve">The Pulse #191: a new trend of CPU shortages</w:t>
        </w:r>
      </w:hyperlink>
    </w:p>
    <w:p>
      <w:pPr>
        <w:numPr>
          <w:ilvl w:val="0"/>
          <w:numId w:val="1002"/>
        </w:numPr>
        <w:pStyle w:val="Compact"/>
      </w:pPr>
      <w:hyperlink r:id="rId24">
        <w:r>
          <w:rPr>
            <w:rStyle w:val="Hyperlink"/>
          </w:rPr>
          <w:t xml:space="preserve">Why Investors Are Rethinking Everything for the AI Era</w:t>
        </w:r>
      </w:hyperlink>
    </w:p>
    <w:bookmarkEnd w:id="46"/>
    <w:bookmarkEnd w:id="47"/>
    <w:bookmarkEnd w:id="4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411">
    <w:nsid w:val="A99411"/>
    <w:multiLevelType w:val="multilevel"/>
    <w:lvl w:ilvl="0">
      <w:start w:val="1"/>
      <w:numFmt w:val="decimal"/>
      <w:lvlText w:val="%1."/>
      <w:lvlJc w:val="left"/>
      <w:pPr>
        <w:ind w:left="720" w:hanging="480"/>
      </w:pPr>
    </w:lvl>
    <w:lvl w:ilvl="1">
      <w:start w:val="1"/>
      <w:numFmt w:val="decimal"/>
      <w:lvlText w:val="%2."/>
      <w:lvlJc w:val="left"/>
      <w:pPr>
        <w:ind w:left="1440" w:hanging="480"/>
      </w:pPr>
    </w:lvl>
    <w:lvl w:ilvl="2">
      <w:start w:val="1"/>
      <w:numFmt w:val="decimal"/>
      <w:lvlText w:val="%3."/>
      <w:lvlJc w:val="left"/>
      <w:pPr>
        <w:ind w:left="2160" w:hanging="480"/>
      </w:pPr>
    </w:lvl>
    <w:lvl w:ilvl="3">
      <w:start w:val="1"/>
      <w:numFmt w:val="decimal"/>
      <w:lvlText w:val="%4."/>
      <w:lvlJc w:val="left"/>
      <w:pPr>
        <w:ind w:left="2880" w:hanging="480"/>
      </w:pPr>
    </w:lvl>
    <w:lvl w:ilvl="4">
      <w:start w:val="1"/>
      <w:numFmt w:val="decimal"/>
      <w:lvlText w:val="%5."/>
      <w:lvlJc w:val="left"/>
      <w:pPr>
        <w:ind w:left="3600" w:hanging="480"/>
      </w:pPr>
    </w:lvl>
    <w:lvl w:ilvl="5">
      <w:start w:val="1"/>
      <w:numFmt w:val="decimal"/>
      <w:lvlText w:val="%6."/>
      <w:lvlJc w:val="left"/>
      <w:pPr>
        <w:ind w:left="4320" w:hanging="480"/>
      </w:pPr>
    </w:lvl>
    <w:lvl w:ilvl="6">
      <w:start w:val="1"/>
      <w:numFmt w:val="decimal"/>
      <w:lvlText w:val="%7."/>
      <w:lvlJc w:val="left"/>
      <w:pPr>
        <w:ind w:left="5040" w:hanging="480"/>
      </w:pPr>
    </w:lvl>
    <w:lvl w:ilvl="7">
      <w:start w:val="1"/>
      <w:numFmt w:val="decimal"/>
      <w:lvlText w:val="%8."/>
      <w:lvlJc w:val="left"/>
      <w:pPr>
        <w:ind w:left="5760" w:hanging="480"/>
      </w:pPr>
    </w:lvl>
    <w:lvl w:ilvl="8">
      <w:start w:val="1"/>
      <w:numFmt w:val="decimal"/>
      <w:lvlText w:val="%9."/>
      <w:lvlJc w:val="left"/>
      <w:pPr>
        <w:ind w:left="6480" w:hanging="480"/>
      </w:pPr>
    </w:lvl>
  </w:abstractNum>
  <w:num w:numId="1000">
    <w:abstractNumId w:val="990"/>
  </w:num>
  <w:num w:numId="1001">
    <w:abstractNumId w:val="991"/>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 Type="http://schemas.openxmlformats.org/officeDocument/2006/relationships/image" Id="rId25" Target="media/rId25.jpg" /><Relationship Type="http://schemas.openxmlformats.org/officeDocument/2006/relationships/image" Id="rId30" Target="media/rId30.jpg" /><Relationship Type="http://schemas.openxmlformats.org/officeDocument/2006/relationships/hyperlink" Id="rId34" Target="https://blog.pragmaticengineer.com/the-pulse-tech-companies-move-to-open-ai-models" TargetMode="External" /><Relationship Type="http://schemas.openxmlformats.org/officeDocument/2006/relationships/hyperlink" Id="rId45" Target="https://newsletter.pragmaticengineer.com/p/the-pulse-191-a-new-trend-of-cpu" TargetMode="External" /><Relationship Type="http://schemas.openxmlformats.org/officeDocument/2006/relationships/hyperlink" Id="rId39" Target="https://openai.com/index/introducing-the-agents-api/" TargetMode="External" /><Relationship Type="http://schemas.openxmlformats.org/officeDocument/2006/relationships/hyperlink" Id="rId43" Target="https://www.anthropic.com/institute/econ-scenarios" TargetMode="External" /><Relationship Type="http://schemas.openxmlformats.org/officeDocument/2006/relationships/hyperlink" Id="rId37" Target="https://www.newcomer.co/p/exclusive-tech-reporter-alex-heath" TargetMode="External" /><Relationship Type="http://schemas.openxmlformats.org/officeDocument/2006/relationships/hyperlink" Id="rId38" Target="https://www.reddit.com/r/SaaS/comments/1wcoluh/" TargetMode="External" /><Relationship Type="http://schemas.openxmlformats.org/officeDocument/2006/relationships/hyperlink" Id="rId24" Target="https://www.youtube.com/watch?v=bsdJd2VeLvg" TargetMode="External" /><Relationship Type="http://schemas.openxmlformats.org/officeDocument/2006/relationships/hyperlink" Id="rId29" Target="https://www.youtube.com/watch?v=uLDK4l_-gUE" TargetMode="External" /><Relationship Type="http://schemas.openxmlformats.org/officeDocument/2006/relationships/hyperlink" Id="rId44" Target="https://x.com/AnthropicAI/status/2098097512544444447" TargetMode="External" /><Relationship Type="http://schemas.openxmlformats.org/officeDocument/2006/relationships/hyperlink" Id="rId36" Target="https://x.com/a16z/status/2098071018233528353" TargetMode="External" /><Relationship Type="http://schemas.openxmlformats.org/officeDocument/2006/relationships/hyperlink" Id="rId35" Target="https://x.com/camillevanhorne/status/2098059524754006016" TargetMode="External" /><Relationship Type="http://schemas.openxmlformats.org/officeDocument/2006/relationships/hyperlink" Id="rId42" Target="https://x.com/deepseek_ai/status/2097930608790167907" TargetMode="External" /><Relationship Type="http://schemas.openxmlformats.org/officeDocument/2006/relationships/hyperlink" Id="rId40" Target="https://x.com/tongzhou_mu/status/2098075638070685764" TargetMode="External" /><Relationship Type="http://schemas.openxmlformats.org/officeDocument/2006/relationships/hyperlink" Id="rId41" Target="https://x.com/vkhosla/status/2098121039633145991" TargetMode="External" /><Relationship Type="http://schemas.openxmlformats.org/officeDocument/2006/relationships/hyperlink" Id="rId28" Target="https://youtube.com/watch?v=bsdJd2VeLvg&amp;t=1286" TargetMode="External" /><Relationship Type="http://schemas.openxmlformats.org/officeDocument/2006/relationships/hyperlink" Id="rId33" Target="https://youtube.com/watch?v=uLDK4l_-gUE&amp;t=1662" TargetMode="External" /></Relationships>
</file>

<file path=word/_rels/footnotes.xml.rels><?xml version="1.0" encoding="UTF-8"?><Relationships xmlns="http://schemas.openxmlformats.org/package/2006/relationships"><Relationship Type="http://schemas.openxmlformats.org/officeDocument/2006/relationships/hyperlink" Id="rId34" Target="https://blog.pragmaticengineer.com/the-pulse-tech-companies-move-to-open-ai-models" TargetMode="External" /><Relationship Type="http://schemas.openxmlformats.org/officeDocument/2006/relationships/hyperlink" Id="rId45" Target="https://newsletter.pragmaticengineer.com/p/the-pulse-191-a-new-trend-of-cpu" TargetMode="External" /><Relationship Type="http://schemas.openxmlformats.org/officeDocument/2006/relationships/hyperlink" Id="rId39" Target="https://openai.com/index/introducing-the-agents-api/" TargetMode="External" /><Relationship Type="http://schemas.openxmlformats.org/officeDocument/2006/relationships/hyperlink" Id="rId43" Target="https://www.anthropic.com/institute/econ-scenarios" TargetMode="External" /><Relationship Type="http://schemas.openxmlformats.org/officeDocument/2006/relationships/hyperlink" Id="rId37" Target="https://www.newcomer.co/p/exclusive-tech-reporter-alex-heath" TargetMode="External" /><Relationship Type="http://schemas.openxmlformats.org/officeDocument/2006/relationships/hyperlink" Id="rId38" Target="https://www.reddit.com/r/SaaS/comments/1wcoluh/" TargetMode="External" /><Relationship Type="http://schemas.openxmlformats.org/officeDocument/2006/relationships/hyperlink" Id="rId24" Target="https://www.youtube.com/watch?v=bsdJd2VeLvg" TargetMode="External" /><Relationship Type="http://schemas.openxmlformats.org/officeDocument/2006/relationships/hyperlink" Id="rId29" Target="https://www.youtube.com/watch?v=uLDK4l_-gUE" TargetMode="External" /><Relationship Type="http://schemas.openxmlformats.org/officeDocument/2006/relationships/hyperlink" Id="rId44" Target="https://x.com/AnthropicAI/status/2098097512544444447" TargetMode="External" /><Relationship Type="http://schemas.openxmlformats.org/officeDocument/2006/relationships/hyperlink" Id="rId36" Target="https://x.com/a16z/status/2098071018233528353" TargetMode="External" /><Relationship Type="http://schemas.openxmlformats.org/officeDocument/2006/relationships/hyperlink" Id="rId35" Target="https://x.com/camillevanhorne/status/2098059524754006016" TargetMode="External" /><Relationship Type="http://schemas.openxmlformats.org/officeDocument/2006/relationships/hyperlink" Id="rId42" Target="https://x.com/deepseek_ai/status/2097930608790167907" TargetMode="External" /><Relationship Type="http://schemas.openxmlformats.org/officeDocument/2006/relationships/hyperlink" Id="rId40" Target="https://x.com/tongzhou_mu/status/2098075638070685764" TargetMode="External" /><Relationship Type="http://schemas.openxmlformats.org/officeDocument/2006/relationships/hyperlink" Id="rId41" Target="https://x.com/vkhosla/status/2098121039633145991" TargetMode="External" /><Relationship Type="http://schemas.openxmlformats.org/officeDocument/2006/relationships/hyperlink" Id="rId28" Target="https://youtube.com/watch?v=bsdJd2VeLvg&amp;t=1286" TargetMode="External" /><Relationship Type="http://schemas.openxmlformats.org/officeDocument/2006/relationships/hyperlink" Id="rId33" Target="https://youtube.com/watch?v=uLDK4l_-gUE&amp;t=1662"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OpenAI Opens the Agent Runtime as AI Economics and Controls Move Upstream</dc:title>
  <dc:creator>VC Tech Radar</dc:creator>
  <cp:keywords/>
  <dcterms:created xsi:type="dcterms:W3CDTF">2026-09-12T04:34:20Z</dcterms:created>
  <dcterms:modified xsi:type="dcterms:W3CDTF">2026-09-12T04:34:20Z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ate">
    <vt:lpwstr>2026-09-11</vt:lpwstr>
  </property>
</Properties>
</file>