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OpenAI’s Agent-Swarm Navier–Stokes Claim Puts Validation at Center Stage</w:t>
      </w:r>
    </w:p>
    <w:p>
      <w:pPr>
        <w:pStyle w:val="Author"/>
      </w:pPr>
      <w:r>
        <w:t xml:space="preserve">AI High Signal Digest</w:t>
      </w:r>
    </w:p>
    <w:p>
      <w:pPr>
        <w:pStyle w:val="Date"/>
      </w:pPr>
      <w:r>
        <w:t xml:space="preserve">2026-09-09</w:t>
      </w:r>
    </w:p>
    <w:bookmarkStart w:id="53" w:name="X9412fb1ebed3c3370ad1073ff722977ac639b04"/>
    <w:p>
      <w:pPr>
        <w:pStyle w:val="Heading1"/>
      </w:pPr>
      <w:r>
        <w:t xml:space="preserve">OpenAI’s Agent-Swarm Navier–Stokes Claim Puts Validation at Center Stage</w:t>
      </w:r>
    </w:p>
    <w:p>
      <w:pPr>
        <w:pStyle w:val="FirstParagraph"/>
      </w:pPr>
      <w:r>
        <w:rPr>
          <w:iCs/>
          <w:i/>
        </w:rPr>
        <w:t xml:space="preserve">By AI High Signal Digest • September 9, 2026</w:t>
      </w:r>
    </w:p>
    <w:p>
      <w:pPr>
        <w:pStyle w:val="BodyText"/>
      </w:pPr>
      <w:r>
        <w:t xml:space="preserve">OpenAI’s claim that a 10,000-agent system produced a Navier–Stokes result leads a brief on validation, personal agents, scientific tooling, model releases, capital and government scrutiny.</w:t>
      </w:r>
    </w:p>
    <w:bookmarkStart w:id="20" w:name="top-stories"/>
    <w:p>
      <w:pPr>
        <w:pStyle w:val="Heading2"/>
      </w:pPr>
      <w:r>
        <w:t xml:space="preserve">Top Stories</w:t>
      </w:r>
    </w:p>
    <w:p>
      <w:pPr>
        <w:pStyle w:val="FirstParagraph"/>
      </w:pPr>
      <w:r>
        <w:rPr>
          <w:iCs/>
          <w:i/>
        </w:rPr>
        <w:t xml:space="preserve">Why it matters: AI progress is now being measured by coordinated systems that spend compute over hours, not only by single-model scores.</w:t>
      </w:r>
    </w:p>
    <w:p>
      <w:pPr>
        <w:pStyle w:val="BodyText"/>
      </w:pPr>
      <w:r>
        <w:rPr>
          <w:bCs/>
          <w:b/>
        </w:rPr>
        <w:t xml:space="preserve">OpenAI claims an agent-swarm result on Navier–Stokes.</w:t>
      </w:r>
      <w:r>
        <w:t xml:space="preserve"> </w:t>
      </w:r>
      <w:r>
        <w:t xml:space="preserve">It says a next-generation model, described as significantly more capable than GPT-6 Astra, produced an analytical proof and Lean formalization that a smooth fluid can develop a finite-time singularity. [1, 2] OpenAI says about 10,000 agents reached the result in 88 hours, followed by 17 hours of Lean verification. [2] The construction uses smooth external forcing; a contemporaneous account says that is allowed under the Clay formulation but does not settle the harder unforced question, and qualifies the result</w:t>
      </w:r>
      <w:r>
        <w:t xml:space="preserve"> </w:t>
      </w:r>
      <w:r>
        <w:t xml:space="preserve">“</w:t>
      </w:r>
      <w:r>
        <w:t xml:space="preserve">if the proof holds up.</w:t>
      </w:r>
      <w:r>
        <w:t xml:space="preserve">”</w:t>
      </w:r>
      <w:r>
        <w:t xml:space="preserve"> </w:t>
      </w:r>
      <w:r>
        <w:t xml:space="preserve">[3] OpenAI says it does not intend to claim the Millennium Prize, calls the release a snapshot, and cannot rule out de-identified product-derived data improving its models even though no specific user data or the researchers’ work was accessed. [2] Validation and provenance are therefore part of the story, not footnotes.</w:t>
      </w:r>
    </w:p>
    <w:p>
      <w:pPr>
        <w:pStyle w:val="BodyText"/>
      </w:pPr>
      <w:r>
        <w:rPr>
          <w:bCs/>
          <w:b/>
        </w:rPr>
        <w:t xml:space="preserve">Meta is putting personal agents in front of users.</w:t>
      </w:r>
      <w:r>
        <w:t xml:space="preserve"> </w:t>
      </w:r>
      <w:r>
        <w:t xml:space="preserve">Muse is always-on, browser-using and app-connected; each instance runs in an isolated secure VM, a Sentinel checks actions before they leave, and it asks before sensitive email or spending actions. [4, 5, 6] Meta offers a public bounty of up to $300,000 for security holes or impactful prompt injection and free use up to 100M tokens per week. [7, 8] Permissions and isolation are being shipped as core product features.</w:t>
      </w:r>
    </w:p>
    <w:bookmarkEnd w:id="20"/>
    <w:bookmarkStart w:id="21" w:name="research-innovation"/>
    <w:p>
      <w:pPr>
        <w:pStyle w:val="Heading2"/>
      </w:pPr>
      <w:r>
        <w:t xml:space="preserve">Research &amp; Innovation</w:t>
      </w:r>
    </w:p>
    <w:p>
      <w:pPr>
        <w:pStyle w:val="FirstParagraph"/>
      </w:pPr>
      <w:r>
        <w:rPr>
          <w:iCs/>
          <w:i/>
        </w:rPr>
        <w:t xml:space="preserve">Why it matters: The most useful technical releases are expanding context—from biology to enterprise document stores.</w:t>
      </w:r>
    </w:p>
    <w:p>
      <w:pPr>
        <w:pStyle w:val="BodyText"/>
      </w:pPr>
      <w:r>
        <w:rPr>
          <w:bCs/>
          <w:b/>
        </w:rPr>
        <w:t xml:space="preserve">Google DeepMind’s AlphaGenome Atlas</w:t>
      </w:r>
      <w:r>
        <w:t xml:space="preserve"> </w:t>
      </w:r>
      <w:r>
        <w:t xml:space="preserve">maps the predicted impact of all 9 billion single-letter DNA changes in a 1-petabyte database more than 30 times the size of AlphaFold’s. Its AVI score ranks mutations and surfaces effects such as broken gene switches or RNA splicing, with access via the web, API and Antigravity. [9, 10, 11, 12]</w:t>
      </w:r>
    </w:p>
    <w:p>
      <w:pPr>
        <w:pStyle w:val="BodyText"/>
      </w:pPr>
      <w:r>
        <w:rPr>
          <w:bCs/>
          <w:b/>
        </w:rPr>
        <w:t xml:space="preserve">Harvey and Baseten’s recursive-language-model harness</w:t>
      </w:r>
      <w:r>
        <w:t xml:space="preserve"> </w:t>
      </w:r>
      <w:r>
        <w:t xml:space="preserve">loads up to 5,000 documents or 80M tokens, then delegates bounded reviews to sub-agents. Across seven models, mean rubric pass rate rose from 23.3% to 62.4%; RL raised a Qwen orchestrator from 29.9% to 63.0% on 50 held-out rooms and coverage from 62% to 96%, at higher generation cost for six of seven baselines. [13]</w:t>
      </w:r>
    </w:p>
    <w:bookmarkEnd w:id="21"/>
    <w:bookmarkStart w:id="22" w:name="products-launches"/>
    <w:p>
      <w:pPr>
        <w:pStyle w:val="Heading2"/>
      </w:pPr>
      <w:r>
        <w:t xml:space="preserve">Products &amp; Launches</w:t>
      </w:r>
    </w:p>
    <w:p>
      <w:pPr>
        <w:pStyle w:val="FirstParagraph"/>
      </w:pPr>
      <w:r>
        <w:rPr>
          <w:iCs/>
          <w:i/>
        </w:rPr>
        <w:t xml:space="preserve">Why it matters: Product competition is moving toward controllable outputs and rapid iteration.</w:t>
      </w:r>
    </w:p>
    <w:p>
      <w:pPr>
        <w:pStyle w:val="BodyText"/>
      </w:pPr>
      <w:r>
        <w:rPr>
          <w:bCs/>
          <w:b/>
        </w:rPr>
        <w:t xml:space="preserve">ChatGPT Images 2.5</w:t>
      </w:r>
      <w:r>
        <w:t xml:space="preserve"> </w:t>
      </w:r>
      <w:r>
        <w:t xml:space="preserve">adds faster generation, improved fidelity, edit consistency and comment-based edits, rolling out across ChatGPT, Work and Codex; Flare and Sunburst are new API models. [14, 15]</w:t>
      </w:r>
    </w:p>
    <w:p>
      <w:pPr>
        <w:pStyle w:val="BodyText"/>
      </w:pPr>
      <w:r>
        <w:rPr>
          <w:bCs/>
          <w:b/>
        </w:rPr>
        <w:t xml:space="preserve">DeepSeek V4.1 Flash</w:t>
      </w:r>
      <w:r>
        <w:t xml:space="preserve"> </w:t>
      </w:r>
      <w:r>
        <w:t xml:space="preserve">is reported in API beta as an intermediate build with a new architecture, native multimodality and faster/stronger performance; its expiring model ID points to a rapid test cycle rather than a settled release. [16, 17]</w:t>
      </w:r>
    </w:p>
    <w:bookmarkEnd w:id="22"/>
    <w:bookmarkStart w:id="23" w:name="industry-moves"/>
    <w:p>
      <w:pPr>
        <w:pStyle w:val="Heading2"/>
      </w:pPr>
      <w:r>
        <w:t xml:space="preserve">Industry Moves</w:t>
      </w:r>
    </w:p>
    <w:p>
      <w:pPr>
        <w:pStyle w:val="FirstParagraph"/>
      </w:pPr>
      <w:r>
        <w:rPr>
          <w:iCs/>
          <w:i/>
        </w:rPr>
        <w:t xml:space="preserve">Why it matters: Frontier compute and enterprise agents are attracting capital at the same time.</w:t>
      </w:r>
    </w:p>
    <w:p>
      <w:pPr>
        <w:pStyle w:val="BodyText"/>
      </w:pPr>
      <w:r>
        <w:rPr>
          <w:bCs/>
          <w:b/>
        </w:rPr>
        <w:t xml:space="preserve">Mistral raised €3B</w:t>
      </w:r>
      <w:r>
        <w:t xml:space="preserve"> </w:t>
      </w:r>
      <w:r>
        <w:t xml:space="preserve">in a Series D it calls Europe’s largest tech equity round; Samsung led, with EQT and PSG co-leading, to fund compute, infrastructure and frontier research. [18, 19]</w:t>
      </w:r>
    </w:p>
    <w:p>
      <w:pPr>
        <w:pStyle w:val="BodyText"/>
      </w:pPr>
      <w:r>
        <w:rPr>
          <w:bCs/>
          <w:b/>
        </w:rPr>
        <w:t xml:space="preserve">Cognition raised more than $2B at a $48B valuation</w:t>
      </w:r>
      <w:r>
        <w:t xml:space="preserve"> </w:t>
      </w:r>
      <w:r>
        <w:t xml:space="preserve">and says run-rate revenue rose from $492M to nearly $900M since May. Devin is expanding into proactive Slack remediation and security scanning. [20, 21]</w:t>
      </w:r>
    </w:p>
    <w:bookmarkEnd w:id="23"/>
    <w:bookmarkStart w:id="24" w:name="policy-regulation"/>
    <w:p>
      <w:pPr>
        <w:pStyle w:val="Heading2"/>
      </w:pPr>
      <w:r>
        <w:t xml:space="preserve">Policy &amp; Regulation</w:t>
      </w:r>
    </w:p>
    <w:p>
      <w:pPr>
        <w:pStyle w:val="FirstParagraph"/>
      </w:pPr>
      <w:r>
        <w:rPr>
          <w:iCs/>
          <w:i/>
        </w:rPr>
        <w:t xml:space="preserve">Why it matters: Government scrutiny is extending from model behavior to control of frontier capabilities.</w:t>
      </w:r>
    </w:p>
    <w:p>
      <w:pPr>
        <w:pStyle w:val="BodyText"/>
      </w:pPr>
      <w:r>
        <w:t xml:space="preserve">An NSA post points to a new report co-sealed with the FBI and CISA alleging illicit distillation of U.S. frontier capabilities by China-based AI companies; it highlights tactics, techniques and recommended mitigations. [22]</w:t>
      </w:r>
    </w:p>
    <w:bookmarkEnd w:id="24"/>
    <w:bookmarkStart w:id="52" w:name="quick-takes"/>
    <w:p>
      <w:pPr>
        <w:pStyle w:val="Heading2"/>
      </w:pPr>
      <w:r>
        <w:t xml:space="preserve">Quick Takes</w:t>
      </w:r>
    </w:p>
    <w:p>
      <w:pPr>
        <w:pStyle w:val="FirstParagraph"/>
      </w:pPr>
      <w:r>
        <w:rPr>
          <w:iCs/>
          <w:i/>
        </w:rPr>
        <w:t xml:space="preserve">Why it matters: Serving architecture and distribution are now part of the capability race.</w:t>
      </w:r>
    </w:p>
    <w:p>
      <w:pPr>
        <w:numPr>
          <w:ilvl w:val="0"/>
          <w:numId w:val="1001"/>
        </w:numPr>
        <w:pStyle w:val="Compact"/>
      </w:pPr>
      <w:r>
        <w:rPr>
          <w:bCs/>
          <w:b/>
        </w:rPr>
        <w:t xml:space="preserve">Agent serving:</w:t>
      </w:r>
      <w:r>
        <w:t xml:space="preserve"> </w:t>
      </w:r>
      <w:r>
        <w:t xml:space="preserve">vLLM’s coding-agent traces show 43 turns per session, 142K-token inputs, 96%+ prefix-cache hits and subagent forks in 44%; it reports 83K tokens per GPU-second for DeepSeek V4 Pro and a 106× cost gap versus Opus 5. [23, 24]</w:t>
      </w:r>
    </w:p>
    <w:p>
      <w:pPr>
        <w:numPr>
          <w:ilvl w:val="0"/>
          <w:numId w:val="1001"/>
        </w:numPr>
        <w:pStyle w:val="Compact"/>
      </w:pPr>
      <w:r>
        <w:rPr>
          <w:bCs/>
          <w:b/>
        </w:rPr>
        <w:t xml:space="preserve">Astra availability:</w:t>
      </w:r>
      <w:r>
        <w:t xml:space="preserve"> </w:t>
      </w:r>
      <w:r>
        <w:t xml:space="preserve">OpenAI says GPT-6 Astra is fully rolled out to Plus, Pro, Business and Enterprise users in Codex and ChatGPT Work. [25]</w:t>
      </w:r>
    </w:p>
    <w:p>
      <w:pPr>
        <w:numPr>
          <w:ilvl w:val="0"/>
          <w:numId w:val="1001"/>
        </w:numPr>
        <w:pStyle w:val="Compact"/>
      </w:pPr>
      <w:r>
        <w:rPr>
          <w:bCs/>
          <w:b/>
        </w:rPr>
        <w:t xml:space="preserve">Creative tooling:</w:t>
      </w:r>
      <w:r>
        <w:t xml:space="preserve"> </w:t>
      </w:r>
      <w:r>
        <w:t xml:space="preserve">Runway plugins now bring model-based generation, editing and upscaling into Premiere Pro and After Effects. [26]</w:t>
      </w:r>
    </w:p>
    <w:p>
      <w:r>
        <w:pict>
          <v:rect style="width:0;height:1.5pt" o:hralign="center" o:hrstd="t" o:hr="t"/>
        </w:pict>
      </w:r>
    </w:p>
    <w:bookmarkStart w:id="51" w:name="sources"/>
    <w:p>
      <w:pPr>
        <w:pStyle w:val="Heading3"/>
      </w:pPr>
      <w:r>
        <w:t xml:space="preserve">Sources</w:t>
      </w:r>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26">
        <w:r>
          <w:rPr>
            <w:rStyle w:val="Hyperlink"/>
          </w:rPr>
          <w:t xml:space="preserve">On the Navier–Stokes Millennium Prize Problem | OpenAI</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@TheTuringPost</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@alexandr_wang</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@alexandr_wang</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@alexandr_wang</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@alexandr_wang</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@finkd</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@GoogleDeepMind</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@GoogleDeepMind</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@GoogleDeepMind</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@GoogleDeepMind</w:t>
        </w:r>
      </w:hyperlink>
    </w:p>
    <w:p>
      <w:pPr>
        <w:numPr>
          <w:ilvl w:val="0"/>
          <w:numId w:val="1002"/>
        </w:numPr>
        <w:pStyle w:val="Compact"/>
      </w:pPr>
      <w:hyperlink r:id="rId37">
        <w:r>
          <w:rPr>
            <w:rStyle w:val="Hyperlink"/>
          </w:rPr>
          <w:t xml:space="preserve">𝕏 article by</w:t>
        </w:r>
        <w:r>
          <w:rPr>
            <w:rStyle w:val="Hyperlink"/>
          </w:rPr>
          <w:t xml:space="preserve"> </w:t>
        </w:r>
        <w:r>
          <w:rPr>
            <w:rStyle w:val="Hyperlink"/>
          </w:rPr>
          <w:t xml:space="preserve">@nikogrupen</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@LuminaBench</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@teortaxesTex</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@MistralAI</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@MistralAI</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@cognition</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@cognition</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@NSACyber</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@vllm_project</w:t>
        </w:r>
      </w:hyperlink>
    </w:p>
    <w:p>
      <w:pPr>
        <w:numPr>
          <w:ilvl w:val="0"/>
          <w:numId w:val="1002"/>
        </w:numPr>
        <w:pStyle w:val="Compact"/>
      </w:pPr>
      <w:hyperlink r:id="rId48">
        <w:r>
          <w:rPr>
            <w:rStyle w:val="Hyperlink"/>
          </w:rPr>
          <w:t xml:space="preserve">𝕏 post by</w:t>
        </w:r>
        <w:r>
          <w:rPr>
            <w:rStyle w:val="Hyperlink"/>
          </w:rPr>
          <w:t xml:space="preserve"> </w:t>
        </w:r>
        <w:r>
          <w:rPr>
            <w:rStyle w:val="Hyperlink"/>
          </w:rPr>
          <w:t xml:space="preserve">@vllm_project</w:t>
        </w:r>
      </w:hyperlink>
    </w:p>
    <w:p>
      <w:pPr>
        <w:numPr>
          <w:ilvl w:val="0"/>
          <w:numId w:val="1002"/>
        </w:numPr>
        <w:pStyle w:val="Compact"/>
      </w:pPr>
      <w:hyperlink r:id="rId49">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50">
        <w:r>
          <w:rPr>
            <w:rStyle w:val="Hyperlink"/>
          </w:rPr>
          <w:t xml:space="preserve">𝕏 post by</w:t>
        </w:r>
        <w:r>
          <w:rPr>
            <w:rStyle w:val="Hyperlink"/>
          </w:rPr>
          <w:t xml:space="preserve"> </w:t>
        </w:r>
        <w:r>
          <w:rPr>
            <w:rStyle w:val="Hyperlink"/>
          </w:rPr>
          <w:t xml:space="preserve">@runwayml</w:t>
        </w:r>
      </w:hyperlink>
    </w:p>
    <w:bookmarkEnd w:id="51"/>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s://openai.com/index/navier-stokes-solution/" TargetMode="External" /><Relationship Type="http://schemas.openxmlformats.org/officeDocument/2006/relationships/hyperlink" Id="rId33" Target="https://x.com/GoogleDeepMind/status/2097325048109384166" TargetMode="External" /><Relationship Type="http://schemas.openxmlformats.org/officeDocument/2006/relationships/hyperlink" Id="rId34" Target="https://x.com/GoogleDeepMind/status/2097325050919596469" TargetMode="External" /><Relationship Type="http://schemas.openxmlformats.org/officeDocument/2006/relationships/hyperlink" Id="rId35" Target="https://x.com/GoogleDeepMind/status/2097325054430200205" TargetMode="External" /><Relationship Type="http://schemas.openxmlformats.org/officeDocument/2006/relationships/hyperlink" Id="rId36" Target="https://x.com/GoogleDeepMind/status/2097325059140411626" TargetMode="External" /><Relationship Type="http://schemas.openxmlformats.org/officeDocument/2006/relationships/hyperlink" Id="rId40" Target="https://x.com/LuminaBench/status/2097237236408357026" TargetMode="External" /><Relationship Type="http://schemas.openxmlformats.org/officeDocument/2006/relationships/hyperlink" Id="rId42" Target="https://x.com/MistralAI/status/2097188835897586083" TargetMode="External" /><Relationship Type="http://schemas.openxmlformats.org/officeDocument/2006/relationships/hyperlink" Id="rId43" Target="https://x.com/MistralAI/status/2097188839580152257" TargetMode="External" /><Relationship Type="http://schemas.openxmlformats.org/officeDocument/2006/relationships/hyperlink" Id="rId46" Target="https://x.com/NSACyber/status/2097374444062732374" TargetMode="External" /><Relationship Type="http://schemas.openxmlformats.org/officeDocument/2006/relationships/hyperlink" Id="rId25" Target="https://x.com/OpenAI/status/2097374640582668336" TargetMode="External" /><Relationship Type="http://schemas.openxmlformats.org/officeDocument/2006/relationships/hyperlink" Id="rId38" Target="https://x.com/OpenAI/status/2097394956457623964" TargetMode="External" /><Relationship Type="http://schemas.openxmlformats.org/officeDocument/2006/relationships/hyperlink" Id="rId39" Target="https://x.com/OpenAI/status/2097394962782384318" TargetMode="External" /><Relationship Type="http://schemas.openxmlformats.org/officeDocument/2006/relationships/hyperlink" Id="rId49" Target="https://x.com/OpenAI/status/2097431322117476423" TargetMode="External" /><Relationship Type="http://schemas.openxmlformats.org/officeDocument/2006/relationships/hyperlink" Id="rId27" Target="https://x.com/TheTuringPost/status/2097508815143137596" TargetMode="External" /><Relationship Type="http://schemas.openxmlformats.org/officeDocument/2006/relationships/hyperlink" Id="rId28" Target="https://x.com/alexandr_wang/status/2097402344061510004" TargetMode="External" /><Relationship Type="http://schemas.openxmlformats.org/officeDocument/2006/relationships/hyperlink" Id="rId29" Target="https://x.com/alexandr_wang/status/2097402345936314855" TargetMode="External" /><Relationship Type="http://schemas.openxmlformats.org/officeDocument/2006/relationships/hyperlink" Id="rId30" Target="https://x.com/alexandr_wang/status/2097402348134158847" TargetMode="External" /><Relationship Type="http://schemas.openxmlformats.org/officeDocument/2006/relationships/hyperlink" Id="rId31" Target="https://x.com/alexandr_wang/status/2097405158703649059" TargetMode="External" /><Relationship Type="http://schemas.openxmlformats.org/officeDocument/2006/relationships/hyperlink" Id="rId44" Target="https://x.com/cognition/status/2097369798518681891" TargetMode="External" /><Relationship Type="http://schemas.openxmlformats.org/officeDocument/2006/relationships/hyperlink" Id="rId45" Target="https://x.com/cognition/status/2097369807196684469" TargetMode="External" /><Relationship Type="http://schemas.openxmlformats.org/officeDocument/2006/relationships/hyperlink" Id="rId32" Target="https://x.com/finkd/status/2097402109092053085" TargetMode="External" /><Relationship Type="http://schemas.openxmlformats.org/officeDocument/2006/relationships/hyperlink" Id="rId37" Target="https://x.com/i/article/2097344107303825408" TargetMode="External" /><Relationship Type="http://schemas.openxmlformats.org/officeDocument/2006/relationships/hyperlink" Id="rId50" Target="https://x.com/runwayml/status/2097432765142532487" TargetMode="External" /><Relationship Type="http://schemas.openxmlformats.org/officeDocument/2006/relationships/hyperlink" Id="rId41" Target="https://x.com/teortaxesTex/status/2097264640803676317" TargetMode="External" /><Relationship Type="http://schemas.openxmlformats.org/officeDocument/2006/relationships/hyperlink" Id="rId48" Target="https://x.com/vllm_project/status/2097427328741896341" TargetMode="External" /><Relationship Type="http://schemas.openxmlformats.org/officeDocument/2006/relationships/hyperlink" Id="rId47" Target="https://x.com/vllm_project/status/2097427355958694058" TargetMode="External" /></Relationships>
</file>

<file path=word/_rels/footnotes.xml.rels><?xml version="1.0" encoding="UTF-8"?><Relationships xmlns="http://schemas.openxmlformats.org/package/2006/relationships"><Relationship Type="http://schemas.openxmlformats.org/officeDocument/2006/relationships/hyperlink" Id="rId26" Target="https://openai.com/index/navier-stokes-solution/" TargetMode="External" /><Relationship Type="http://schemas.openxmlformats.org/officeDocument/2006/relationships/hyperlink" Id="rId33" Target="https://x.com/GoogleDeepMind/status/2097325048109384166" TargetMode="External" /><Relationship Type="http://schemas.openxmlformats.org/officeDocument/2006/relationships/hyperlink" Id="rId34" Target="https://x.com/GoogleDeepMind/status/2097325050919596469" TargetMode="External" /><Relationship Type="http://schemas.openxmlformats.org/officeDocument/2006/relationships/hyperlink" Id="rId35" Target="https://x.com/GoogleDeepMind/status/2097325054430200205" TargetMode="External" /><Relationship Type="http://schemas.openxmlformats.org/officeDocument/2006/relationships/hyperlink" Id="rId36" Target="https://x.com/GoogleDeepMind/status/2097325059140411626" TargetMode="External" /><Relationship Type="http://schemas.openxmlformats.org/officeDocument/2006/relationships/hyperlink" Id="rId40" Target="https://x.com/LuminaBench/status/2097237236408357026" TargetMode="External" /><Relationship Type="http://schemas.openxmlformats.org/officeDocument/2006/relationships/hyperlink" Id="rId42" Target="https://x.com/MistralAI/status/2097188835897586083" TargetMode="External" /><Relationship Type="http://schemas.openxmlformats.org/officeDocument/2006/relationships/hyperlink" Id="rId43" Target="https://x.com/MistralAI/status/2097188839580152257" TargetMode="External" /><Relationship Type="http://schemas.openxmlformats.org/officeDocument/2006/relationships/hyperlink" Id="rId46" Target="https://x.com/NSACyber/status/2097374444062732374" TargetMode="External" /><Relationship Type="http://schemas.openxmlformats.org/officeDocument/2006/relationships/hyperlink" Id="rId25" Target="https://x.com/OpenAI/status/2097374640582668336" TargetMode="External" /><Relationship Type="http://schemas.openxmlformats.org/officeDocument/2006/relationships/hyperlink" Id="rId38" Target="https://x.com/OpenAI/status/2097394956457623964" TargetMode="External" /><Relationship Type="http://schemas.openxmlformats.org/officeDocument/2006/relationships/hyperlink" Id="rId39" Target="https://x.com/OpenAI/status/2097394962782384318" TargetMode="External" /><Relationship Type="http://schemas.openxmlformats.org/officeDocument/2006/relationships/hyperlink" Id="rId49" Target="https://x.com/OpenAI/status/2097431322117476423" TargetMode="External" /><Relationship Type="http://schemas.openxmlformats.org/officeDocument/2006/relationships/hyperlink" Id="rId27" Target="https://x.com/TheTuringPost/status/2097508815143137596" TargetMode="External" /><Relationship Type="http://schemas.openxmlformats.org/officeDocument/2006/relationships/hyperlink" Id="rId28" Target="https://x.com/alexandr_wang/status/2097402344061510004" TargetMode="External" /><Relationship Type="http://schemas.openxmlformats.org/officeDocument/2006/relationships/hyperlink" Id="rId29" Target="https://x.com/alexandr_wang/status/2097402345936314855" TargetMode="External" /><Relationship Type="http://schemas.openxmlformats.org/officeDocument/2006/relationships/hyperlink" Id="rId30" Target="https://x.com/alexandr_wang/status/2097402348134158847" TargetMode="External" /><Relationship Type="http://schemas.openxmlformats.org/officeDocument/2006/relationships/hyperlink" Id="rId31" Target="https://x.com/alexandr_wang/status/2097405158703649059" TargetMode="External" /><Relationship Type="http://schemas.openxmlformats.org/officeDocument/2006/relationships/hyperlink" Id="rId44" Target="https://x.com/cognition/status/2097369798518681891" TargetMode="External" /><Relationship Type="http://schemas.openxmlformats.org/officeDocument/2006/relationships/hyperlink" Id="rId45" Target="https://x.com/cognition/status/2097369807196684469" TargetMode="External" /><Relationship Type="http://schemas.openxmlformats.org/officeDocument/2006/relationships/hyperlink" Id="rId32" Target="https://x.com/finkd/status/2097402109092053085" TargetMode="External" /><Relationship Type="http://schemas.openxmlformats.org/officeDocument/2006/relationships/hyperlink" Id="rId37" Target="https://x.com/i/article/2097344107303825408" TargetMode="External" /><Relationship Type="http://schemas.openxmlformats.org/officeDocument/2006/relationships/hyperlink" Id="rId50" Target="https://x.com/runwayml/status/2097432765142532487" TargetMode="External" /><Relationship Type="http://schemas.openxmlformats.org/officeDocument/2006/relationships/hyperlink" Id="rId41" Target="https://x.com/teortaxesTex/status/2097264640803676317" TargetMode="External" /><Relationship Type="http://schemas.openxmlformats.org/officeDocument/2006/relationships/hyperlink" Id="rId48" Target="https://x.com/vllm_project/status/2097427328741896341" TargetMode="External" /><Relationship Type="http://schemas.openxmlformats.org/officeDocument/2006/relationships/hyperlink" Id="rId47" Target="https://x.com/vllm_project/status/209742735595869405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OpenAI’s Agent-Swarm Navier–Stokes Claim Puts Validation at Center Stage</dc:title>
  <dc:creator>AI High Signal Digest</dc:creator>
  <cp:keywords/>
  <dcterms:created xsi:type="dcterms:W3CDTF">2026-09-09T11:47:55Z</dcterms:created>
  <dcterms:modified xsi:type="dcterms:W3CDTF">2026-09-09T11:47:55Z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2026-09-09</vt:lpwstr>
  </property>
</Properties>
</file>