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OpenAI’s Automated Research Loop Raises the Stakes for Astra—and for Evaluation</w:t>
      </w:r>
    </w:p>
    <w:p>
      <w:pPr>
        <w:pStyle w:val="Author"/>
      </w:pPr>
      <w:r>
        <w:t xml:space="preserve">AI High Signal Digest</w:t>
      </w:r>
    </w:p>
    <w:p>
      <w:pPr>
        <w:pStyle w:val="Date"/>
      </w:pPr>
      <w:r>
        <w:t xml:space="preserve">2026-09-07</w:t>
      </w:r>
    </w:p>
    <w:bookmarkStart w:id="44" w:name="X21db3421864b034720ba5991f521e47bac25120"/>
    <w:p>
      <w:pPr>
        <w:pStyle w:val="Heading1"/>
      </w:pPr>
      <w:r>
        <w:t xml:space="preserve">OpenAI’s Automated Research Loop Raises the Stakes for Astra—and for Evaluation</w:t>
      </w:r>
    </w:p>
    <w:p>
      <w:pPr>
        <w:pStyle w:val="FirstParagraph"/>
      </w:pPr>
      <w:r>
        <w:rPr>
          <w:iCs/>
          <w:i/>
        </w:rPr>
        <w:t xml:space="preserve">By AI High Signal Digest • September 7, 2026</w:t>
      </w:r>
    </w:p>
    <w:p>
      <w:pPr>
        <w:pStyle w:val="BodyText"/>
      </w:pPr>
      <w:r>
        <w:t xml:space="preserve">OpenAI’s disclosure of an automated research intern and rapid internal agent gains is the period’s central development, set against Astra’s execution benchmarks, harder safety evaluations, cheaper competitors, and accelerating AI infrastructure consolidation.</w:t>
      </w:r>
    </w:p>
    <w:bookmarkStart w:id="20" w:name="top-stories"/>
    <w:p>
      <w:pPr>
        <w:pStyle w:val="Heading2"/>
      </w:pPr>
      <w:r>
        <w:t xml:space="preserve">Top Stories</w:t>
      </w:r>
    </w:p>
    <w:p>
      <w:pPr>
        <w:pStyle w:val="FirstParagraph"/>
      </w:pPr>
      <w:r>
        <w:rPr>
          <w:iCs/>
          <w:i/>
        </w:rPr>
        <w:t xml:space="preserve">Why it matters: AI competition is moving from answer quality to systems that run multi-hour work and improve the work that builds the next system.</w:t>
      </w:r>
    </w:p>
    <w:p>
      <w:pPr>
        <w:pStyle w:val="BodyText"/>
      </w:pPr>
      <w:r>
        <w:rPr>
          <w:bCs/>
          <w:b/>
        </w:rPr>
        <w:t xml:space="preserve">OpenAI says its internal AI-research loop crossed a threshold.</w:t>
      </w:r>
      <w:r>
        <w:t xml:space="preserve"> </w:t>
      </w:r>
      <w:r>
        <w:t xml:space="preserve">It says it reached its automated-research-intern goal by September and is progressing toward an automated AI researcher by March 2028. Reported figures include code changes per contributor at 7× the pre-2025 average, experiments per active experimenter at 1.6× the 2025 baseline, agent runtime at 3.1 researcher workdays per workday, and no-intervention success on 4–8-hour tasks rising from 18% in January to 53% in July. [1] OpenAI calls recursive self-improvement a potentially major capability driver, while Chief Scientist Jakub Pachocki says chain-of-thought monitoring is becoming less reliable. [2, 3] These are self-reported figures, but they make internal AI use a strategic signal rather than a demo.</w:t>
      </w:r>
    </w:p>
    <w:p>
      <w:pPr>
        <w:pStyle w:val="BodyText"/>
      </w:pPr>
      <w:r>
        <w:rPr>
          <w:bCs/>
          <w:b/>
        </w:rPr>
        <w:t xml:space="preserve">Astra’s strongest public signal is execution—not a settled AGI verdict.</w:t>
      </w:r>
      <w:r>
        <w:t xml:space="preserve"> </w:t>
      </w:r>
      <w:r>
        <w:t xml:space="preserve">Browser Use Benchmark v2 reports 77.3% for Astra medium, versus 50.5% for Opus 5 and 49.1% for GPT-5.6 Sol; Astra got full marks on 22 of 60 tasks, while Opus got none. [4] But AGI is being used against incompatible bars—from outperforming humans at most economically valuable work to Nobel-level performance across fields—and other observers say the term itself remains unsettled. [5, 6] Evaluate Astra by workflow and failure mode, not by the headline label.</w:t>
      </w:r>
    </w:p>
    <w:bookmarkEnd w:id="20"/>
    <w:bookmarkStart w:id="21" w:name="research-innovation"/>
    <w:p>
      <w:pPr>
        <w:pStyle w:val="Heading2"/>
      </w:pPr>
      <w:r>
        <w:t xml:space="preserve">Research &amp; Innovation</w:t>
      </w:r>
    </w:p>
    <w:p>
      <w:pPr>
        <w:pStyle w:val="FirstParagraph"/>
      </w:pPr>
      <w:r>
        <w:rPr>
          <w:iCs/>
          <w:i/>
        </w:rPr>
        <w:t xml:space="preserve">Why it matters: The next evaluation and inference gains will come from making agents look more like deployed systems and spend less compute on irrelevant context.</w:t>
      </w:r>
    </w:p>
    <w:p>
      <w:pPr>
        <w:pStyle w:val="BodyText"/>
      </w:pPr>
      <w:r>
        <w:rPr>
          <w:bCs/>
          <w:b/>
        </w:rPr>
        <w:t xml:space="preserve">Safety evaluation is becoming a deployment-design problem.</w:t>
      </w:r>
      <w:r>
        <w:t xml:space="preserve"> </w:t>
      </w:r>
      <w:r>
        <w:t xml:space="preserve">A paper from the UK AI Security Institute, Meridian, and Anthropic says capable models can distinguish tests from deployment, weakening safety conclusions. It proposes critique refinement and DISH, a deployment-like SWE harness; combined, they improved realism more than either alone, and the authors say compute is better spent on realism than simply making audits longer. [7] The harness itself is therefore a safety variable. [7]</w:t>
      </w:r>
    </w:p>
    <w:p>
      <w:pPr>
        <w:pStyle w:val="BodyText"/>
      </w:pPr>
      <w:r>
        <w:rPr>
          <w:bCs/>
          <w:b/>
        </w:rPr>
        <w:t xml:space="preserve">Declarative Attention targets long-context cost.</w:t>
      </w:r>
      <w:r>
        <w:t xml:space="preserve"> </w:t>
      </w:r>
      <w:r>
        <w:t xml:space="preserve">Google DeepMind collaborators let models emit global, focus, or local routing declarations so inference skips most KV-cache reads. Across 15 tasks, attended tokens fell 52.0% on Gemma-4-31B and 31.1% on Qwen-3.6-27B, at a 1–3-point average accuracy cost. [8]</w:t>
      </w:r>
    </w:p>
    <w:bookmarkEnd w:id="21"/>
    <w:bookmarkStart w:id="22" w:name="products-launches"/>
    <w:p>
      <w:pPr>
        <w:pStyle w:val="Heading2"/>
      </w:pPr>
      <w:r>
        <w:t xml:space="preserve">Products &amp; Launches</w:t>
      </w:r>
    </w:p>
    <w:p>
      <w:pPr>
        <w:pStyle w:val="FirstParagraph"/>
      </w:pPr>
      <w:r>
        <w:rPr>
          <w:iCs/>
          <w:i/>
        </w:rPr>
        <w:t xml:space="preserve">Why it matters: Model competition is increasingly about cost, domain performance, and persistent task state—not just a general leaderboard position.</w:t>
      </w:r>
    </w:p>
    <w:p>
      <w:pPr>
        <w:pStyle w:val="BodyText"/>
      </w:pPr>
      <w:r>
        <w:rPr>
          <w:bCs/>
          <w:b/>
        </w:rPr>
        <w:t xml:space="preserve">Meta’s Muse Spark 1.3 Max is positioned as a cost-pressure release.</w:t>
      </w:r>
      <w:r>
        <w:t xml:space="preserve"> </w:t>
      </w:r>
      <w:r>
        <w:t xml:space="preserve">ValsAI claims it matches Fable 5 and GPT-5.6 Sol on its Vals Index at 4–8× lower cost, ranks first on its in-house Legal Research Benchmark and second on Harvey’s Legal Agent Benchmark, and offers a 1M-token context window at $1.25/$4.25 per million tokens. [9, 10, 11]</w:t>
      </w:r>
    </w:p>
    <w:p>
      <w:pPr>
        <w:pStyle w:val="BodyText"/>
      </w:pPr>
      <w:r>
        <w:rPr>
          <w:bCs/>
          <w:b/>
        </w:rPr>
        <w:t xml:space="preserve">Codex is adding persistent task state experimentally.</w:t>
      </w:r>
      <w:r>
        <w:t xml:space="preserve"> </w:t>
      </w:r>
      <w:r>
        <w:t xml:space="preserve">The Astra-enabled feature keeps notes across context windows and searches earlier messages and tool outputs, targeting long debugging sessions and large refactors; it requires Plus, Pro, or Pro Lite sign-in and a configuration change. [12]</w:t>
      </w:r>
    </w:p>
    <w:p>
      <w:pPr>
        <w:pStyle w:val="BodyText"/>
      </w:pPr>
      <w:r>
        <w:rPr>
          <w:bCs/>
          <w:b/>
        </w:rPr>
        <w:t xml:space="preserve">Runway reports early agent adoption at scale:</w:t>
      </w:r>
      <w:r>
        <w:t xml:space="preserve"> </w:t>
      </w:r>
      <w:r>
        <w:t xml:space="preserve">more than 2 million users, 100 million messages, and 10,000 custom skills after the Agent’s launch ten weeks earlier. [13]</w:t>
      </w:r>
    </w:p>
    <w:bookmarkEnd w:id="22"/>
    <w:bookmarkStart w:id="23" w:name="industry-moves"/>
    <w:p>
      <w:pPr>
        <w:pStyle w:val="Heading2"/>
      </w:pPr>
      <w:r>
        <w:t xml:space="preserve">Industry Moves</w:t>
      </w:r>
    </w:p>
    <w:p>
      <w:pPr>
        <w:pStyle w:val="FirstParagraph"/>
      </w:pPr>
      <w:r>
        <w:rPr>
          <w:iCs/>
          <w:i/>
        </w:rPr>
        <w:t xml:space="preserve">Why it matters: Control of open ecosystems, compute, and model-customization channels is becoming as important as owning a frontier model.</w:t>
      </w:r>
    </w:p>
    <w:p>
      <w:pPr>
        <w:pStyle w:val="BodyText"/>
      </w:pPr>
      <w:r>
        <w:rPr>
          <w:bCs/>
          <w:b/>
        </w:rPr>
        <w:t xml:space="preserve">Nvidia is buying a major open-model distribution layer.</w:t>
      </w:r>
      <w:r>
        <w:t xml:space="preserve"> </w:t>
      </w:r>
      <w:r>
        <w:t xml:space="preserve">TechCrunch reports Nvidia acquired Hugging Face for $12.93 billion; the platform hosts 3 million models, 1 million applications, 18 million developers, and 500,000 datasets. Nvidia says the hub will remain open and will not require Nvidia compute, while the strategic rationale includes controlling an ecosystem suited to its chips and packaging unused capacity with Hugging Face’s offering. [14]</w:t>
      </w:r>
    </w:p>
    <w:p>
      <w:pPr>
        <w:pStyle w:val="BodyText"/>
      </w:pPr>
      <w:r>
        <w:rPr>
          <w:bCs/>
          <w:b/>
        </w:rPr>
        <w:t xml:space="preserve">Thinking Machines Lab is raising at frontier-lab scale.</w:t>
      </w:r>
      <w:r>
        <w:t xml:space="preserve"> </w:t>
      </w:r>
      <w:r>
        <w:t xml:space="preserve">The Information reports that Mira Murati’s startup is seeking $5–6 billion at a $40 billion-plus pre-money valuation; Nvidia is reportedly discussing a $2.5 billion investment and Accel may lead. The company released the open-weight Inkling model in July and earns revenue from customizing models with customer data. [15]</w:t>
      </w:r>
    </w:p>
    <w:bookmarkEnd w:id="23"/>
    <w:bookmarkStart w:id="43" w:name="quick-takes"/>
    <w:p>
      <w:pPr>
        <w:pStyle w:val="Heading2"/>
      </w:pPr>
      <w:r>
        <w:t xml:space="preserve">Quick Takes</w:t>
      </w:r>
    </w:p>
    <w:p>
      <w:pPr>
        <w:pStyle w:val="FirstParagraph"/>
      </w:pPr>
      <w:r>
        <w:rPr>
          <w:iCs/>
          <w:i/>
        </w:rPr>
        <w:t xml:space="preserve">Why it matters: The supporting evidence is widening beyond chatbots into raw-data forecasting and offensive-security evaluation.</w:t>
      </w:r>
    </w:p>
    <w:p>
      <w:pPr>
        <w:numPr>
          <w:ilvl w:val="0"/>
          <w:numId w:val="1001"/>
        </w:numPr>
        <w:pStyle w:val="Compact"/>
      </w:pPr>
      <w:r>
        <w:rPr>
          <w:bCs/>
          <w:b/>
        </w:rPr>
        <w:t xml:space="preserve">WeatherNext 3:</w:t>
      </w:r>
      <w:r>
        <w:t xml:space="preserve"> </w:t>
      </w:r>
      <w:r>
        <w:t xml:space="preserve">A Google DeepMind model summary says it ingests low-latency satellite data, refreshes hourly, and predicts observation-space targets such as precipitation and cyclone tracks rather than inheriting model-generated analysis labels. [16]</w:t>
      </w:r>
    </w:p>
    <w:p>
      <w:pPr>
        <w:numPr>
          <w:ilvl w:val="0"/>
          <w:numId w:val="1001"/>
        </w:numPr>
        <w:pStyle w:val="Compact"/>
      </w:pPr>
      <w:r>
        <w:rPr>
          <w:bCs/>
          <w:b/>
        </w:rPr>
        <w:t xml:space="preserve">Cyber models:</w:t>
      </w:r>
      <w:r>
        <w:t xml:space="preserve"> </w:t>
      </w:r>
      <w:r>
        <w:t xml:space="preserve">Google’s Gemini 3.8 Flash cyber variant is reported by Chrome Security to produce 2.6× more correct vulnerability patches than competing commercial models. [17]</w:t>
      </w:r>
    </w:p>
    <w:p>
      <w:pPr>
        <w:numPr>
          <w:ilvl w:val="0"/>
          <w:numId w:val="1001"/>
        </w:numPr>
        <w:pStyle w:val="Compact"/>
      </w:pPr>
      <w:r>
        <w:rPr>
          <w:bCs/>
          <w:b/>
        </w:rPr>
        <w:t xml:space="preserve">Security caveat:</w:t>
      </w:r>
      <w:r>
        <w:t xml:space="preserve"> </w:t>
      </w:r>
      <w:r>
        <w:t xml:space="preserve">After Codex Security and Mythos reported zero remaining curl issues, AISLE found six zero-days that curl’s security team validated and assigned CVEs to. [18]</w:t>
      </w:r>
    </w:p>
    <w:p>
      <w:r>
        <w:pict>
          <v:rect style="width:0;height:1.5pt" o:hralign="center" o:hrstd="t" o:hr="t"/>
        </w:pict>
      </w:r>
    </w:p>
    <w:bookmarkStart w:id="42" w:name="sources"/>
    <w:p>
      <w:pPr>
        <w:pStyle w:val="Heading3"/>
      </w:pPr>
      <w:r>
        <w:t xml:space="preserve">Sources</w:t>
      </w:r>
    </w:p>
    <w:p>
      <w:pPr>
        <w:numPr>
          <w:ilvl w:val="0"/>
          <w:numId w:val="1002"/>
        </w:numPr>
        <w:pStyle w:val="Compact"/>
      </w:pPr>
      <w:hyperlink r:id="rId24">
        <w:r>
          <w:rPr>
            <w:rStyle w:val="Hyperlink"/>
          </w:rPr>
          <w:t xml:space="preserve">𝕏 post by</w:t>
        </w:r>
        <w:r>
          <w:rPr>
            <w:rStyle w:val="Hyperlink"/>
          </w:rPr>
          <w:t xml:space="preserve"> </w:t>
        </w:r>
        <w:r>
          <w:rPr>
            <w:rStyle w:val="Hyperlink"/>
          </w:rPr>
          <w:t xml:space="preserve">@reach_vb</w:t>
        </w:r>
      </w:hyperlink>
    </w:p>
    <w:p>
      <w:pPr>
        <w:numPr>
          <w:ilvl w:val="0"/>
          <w:numId w:val="1002"/>
        </w:numPr>
        <w:pStyle w:val="Compact"/>
      </w:pPr>
      <w:hyperlink r:id="rId25">
        <w:r>
          <w:rPr>
            <w:rStyle w:val="Hyperlink"/>
          </w:rPr>
          <w:t xml:space="preserve">𝕏 post by</w:t>
        </w:r>
        <w:r>
          <w:rPr>
            <w:rStyle w:val="Hyperlink"/>
          </w:rPr>
          <w:t xml:space="preserve"> </w:t>
        </w:r>
        <w:r>
          <w:rPr>
            <w:rStyle w:val="Hyperlink"/>
          </w:rPr>
          <w:t xml:space="preserve">@kliu128</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@kimmonismus</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@gregpr07</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@Yuchenj_UW</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@LearnOpenCV</w:t>
        </w:r>
      </w:hyperlink>
    </w:p>
    <w:p>
      <w:pPr>
        <w:numPr>
          <w:ilvl w:val="0"/>
          <w:numId w:val="1002"/>
        </w:numPr>
        <w:pStyle w:val="Compact"/>
      </w:pPr>
      <w:hyperlink r:id="rId30">
        <w:r>
          <w:rPr>
            <w:rStyle w:val="Hyperlink"/>
          </w:rPr>
          <w:t xml:space="preserve">Improving Evaluation Realism with Inference-Time Compute and Deployment Scaffolds</w:t>
        </w:r>
      </w:hyperlink>
    </w:p>
    <w:p>
      <w:pPr>
        <w:numPr>
          <w:ilvl w:val="0"/>
          <w:numId w:val="1002"/>
        </w:numPr>
        <w:pStyle w:val="Compact"/>
      </w:pPr>
      <w:hyperlink r:id="rId31">
        <w:r>
          <w:rPr>
            <w:rStyle w:val="Hyperlink"/>
          </w:rPr>
          <w:t xml:space="preserve">𝕏 article by</w:t>
        </w:r>
        <w:r>
          <w:rPr>
            <w:rStyle w:val="Hyperlink"/>
          </w:rPr>
          <w:t xml:space="preserve"> </w:t>
        </w:r>
        <w:r>
          <w:rPr>
            <w:rStyle w:val="Hyperlink"/>
          </w:rPr>
          <w:t xml:space="preserve">@dair_ai</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@ValsAI</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@ValsAI</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@ValsAI</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@reach_vb</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@c_valenzuelab</w:t>
        </w:r>
      </w:hyperlink>
    </w:p>
    <w:p>
      <w:pPr>
        <w:numPr>
          <w:ilvl w:val="0"/>
          <w:numId w:val="1002"/>
        </w:numPr>
        <w:pStyle w:val="Compact"/>
      </w:pPr>
      <w:hyperlink r:id="rId37">
        <w:r>
          <w:rPr>
            <w:rStyle w:val="Hyperlink"/>
          </w:rPr>
          <w:t xml:space="preserve">Nvidia confirms it will buy Hugging Face for $12.9 billion</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@kimmonismus</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@dair_ai</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@dl_weekly</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@teortaxesTex</w:t>
        </w:r>
      </w:hyperlink>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0" Target="https://academy.dair.ai/papers/improving-evaluation-realism-with-inference-time-compute-and-deployment-scaffold-2609.02302" TargetMode="External" /><Relationship Type="http://schemas.openxmlformats.org/officeDocument/2006/relationships/hyperlink" Id="rId37" Target="https://techcrunch.com/2026/09/03/nvidia-confirms-it-will-buy-hugging-face-for-12-9-billion/" TargetMode="External" /><Relationship Type="http://schemas.openxmlformats.org/officeDocument/2006/relationships/hyperlink" Id="rId29" Target="https://x.com/LearnOpenCV/status/2096805423466926494" TargetMode="External" /><Relationship Type="http://schemas.openxmlformats.org/officeDocument/2006/relationships/hyperlink" Id="rId32" Target="https://x.com/ValsAI/status/2096663681702723653" TargetMode="External" /><Relationship Type="http://schemas.openxmlformats.org/officeDocument/2006/relationships/hyperlink" Id="rId33" Target="https://x.com/ValsAI/status/2096663683648934328" TargetMode="External" /><Relationship Type="http://schemas.openxmlformats.org/officeDocument/2006/relationships/hyperlink" Id="rId34" Target="https://x.com/ValsAI/status/2096663687922868571" TargetMode="External" /><Relationship Type="http://schemas.openxmlformats.org/officeDocument/2006/relationships/hyperlink" Id="rId28" Target="https://x.com/Yuchenj_UW/status/2096821990413967457" TargetMode="External" /><Relationship Type="http://schemas.openxmlformats.org/officeDocument/2006/relationships/hyperlink" Id="rId36" Target="https://x.com/c_valenzuelab/status/2096630574483931252" TargetMode="External" /><Relationship Type="http://schemas.openxmlformats.org/officeDocument/2006/relationships/hyperlink" Id="rId39" Target="https://x.com/dair_ai/status/2096644646780973297" TargetMode="External" /><Relationship Type="http://schemas.openxmlformats.org/officeDocument/2006/relationships/hyperlink" Id="rId40" Target="https://x.com/dl_weekly/status/2096747525722017879" TargetMode="External" /><Relationship Type="http://schemas.openxmlformats.org/officeDocument/2006/relationships/hyperlink" Id="rId27" Target="https://x.com/gregpr07/status/2096452137429680527" TargetMode="External" /><Relationship Type="http://schemas.openxmlformats.org/officeDocument/2006/relationships/hyperlink" Id="rId31" Target="https://x.com/i/article/2096617303903191042" TargetMode="External" /><Relationship Type="http://schemas.openxmlformats.org/officeDocument/2006/relationships/hyperlink" Id="rId26" Target="https://x.com/kimmonismus/status/2096645621096575381" TargetMode="External" /><Relationship Type="http://schemas.openxmlformats.org/officeDocument/2006/relationships/hyperlink" Id="rId38" Target="https://x.com/kimmonismus/status/2096701471232545206" TargetMode="External" /><Relationship Type="http://schemas.openxmlformats.org/officeDocument/2006/relationships/hyperlink" Id="rId25" Target="https://x.com/kliu128/status/2096616468851097811" TargetMode="External" /><Relationship Type="http://schemas.openxmlformats.org/officeDocument/2006/relationships/hyperlink" Id="rId24" Target="https://x.com/reach_vb/status/2096645774553559268" TargetMode="External" /><Relationship Type="http://schemas.openxmlformats.org/officeDocument/2006/relationships/hyperlink" Id="rId35" Target="https://x.com/reach_vb/status/2096657879411384638" TargetMode="External" /><Relationship Type="http://schemas.openxmlformats.org/officeDocument/2006/relationships/hyperlink" Id="rId41" Target="https://x.com/teortaxesTex/status/2096791133934239899" TargetMode="External" /></Relationships>
</file>

<file path=word/_rels/footnotes.xml.rels><?xml version="1.0" encoding="UTF-8"?><Relationships xmlns="http://schemas.openxmlformats.org/package/2006/relationships"><Relationship Type="http://schemas.openxmlformats.org/officeDocument/2006/relationships/hyperlink" Id="rId30" Target="https://academy.dair.ai/papers/improving-evaluation-realism-with-inference-time-compute-and-deployment-scaffold-2609.02302" TargetMode="External" /><Relationship Type="http://schemas.openxmlformats.org/officeDocument/2006/relationships/hyperlink" Id="rId37" Target="https://techcrunch.com/2026/09/03/nvidia-confirms-it-will-buy-hugging-face-for-12-9-billion/" TargetMode="External" /><Relationship Type="http://schemas.openxmlformats.org/officeDocument/2006/relationships/hyperlink" Id="rId29" Target="https://x.com/LearnOpenCV/status/2096805423466926494" TargetMode="External" /><Relationship Type="http://schemas.openxmlformats.org/officeDocument/2006/relationships/hyperlink" Id="rId32" Target="https://x.com/ValsAI/status/2096663681702723653" TargetMode="External" /><Relationship Type="http://schemas.openxmlformats.org/officeDocument/2006/relationships/hyperlink" Id="rId33" Target="https://x.com/ValsAI/status/2096663683648934328" TargetMode="External" /><Relationship Type="http://schemas.openxmlformats.org/officeDocument/2006/relationships/hyperlink" Id="rId34" Target="https://x.com/ValsAI/status/2096663687922868571" TargetMode="External" /><Relationship Type="http://schemas.openxmlformats.org/officeDocument/2006/relationships/hyperlink" Id="rId28" Target="https://x.com/Yuchenj_UW/status/2096821990413967457" TargetMode="External" /><Relationship Type="http://schemas.openxmlformats.org/officeDocument/2006/relationships/hyperlink" Id="rId36" Target="https://x.com/c_valenzuelab/status/2096630574483931252" TargetMode="External" /><Relationship Type="http://schemas.openxmlformats.org/officeDocument/2006/relationships/hyperlink" Id="rId39" Target="https://x.com/dair_ai/status/2096644646780973297" TargetMode="External" /><Relationship Type="http://schemas.openxmlformats.org/officeDocument/2006/relationships/hyperlink" Id="rId40" Target="https://x.com/dl_weekly/status/2096747525722017879" TargetMode="External" /><Relationship Type="http://schemas.openxmlformats.org/officeDocument/2006/relationships/hyperlink" Id="rId27" Target="https://x.com/gregpr07/status/2096452137429680527" TargetMode="External" /><Relationship Type="http://schemas.openxmlformats.org/officeDocument/2006/relationships/hyperlink" Id="rId31" Target="https://x.com/i/article/2096617303903191042" TargetMode="External" /><Relationship Type="http://schemas.openxmlformats.org/officeDocument/2006/relationships/hyperlink" Id="rId26" Target="https://x.com/kimmonismus/status/2096645621096575381" TargetMode="External" /><Relationship Type="http://schemas.openxmlformats.org/officeDocument/2006/relationships/hyperlink" Id="rId38" Target="https://x.com/kimmonismus/status/2096701471232545206" TargetMode="External" /><Relationship Type="http://schemas.openxmlformats.org/officeDocument/2006/relationships/hyperlink" Id="rId25" Target="https://x.com/kliu128/status/2096616468851097811" TargetMode="External" /><Relationship Type="http://schemas.openxmlformats.org/officeDocument/2006/relationships/hyperlink" Id="rId24" Target="https://x.com/reach_vb/status/2096645774553559268" TargetMode="External" /><Relationship Type="http://schemas.openxmlformats.org/officeDocument/2006/relationships/hyperlink" Id="rId35" Target="https://x.com/reach_vb/status/2096657879411384638" TargetMode="External" /><Relationship Type="http://schemas.openxmlformats.org/officeDocument/2006/relationships/hyperlink" Id="rId41" Target="https://x.com/teortaxesTex/status/209679113393423989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OpenAI’s Automated Research Loop Raises the Stakes for Astra—and for Evaluation</dc:title>
  <dc:creator>AI High Signal Digest</dc:creator>
  <cp:keywords/>
  <dcterms:created xsi:type="dcterms:W3CDTF">2026-09-07T11:43:01Z</dcterms:created>
  <dcterms:modified xsi:type="dcterms:W3CDTF">2026-09-07T11:43:01Z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2026-09-07</vt:lpwstr>
  </property>
</Properties>
</file>