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OpenAI’s Cursor Cutoff Turns Model Access Into a Strategic Fault Line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2026-08-29</w:t>
      </w:r>
    </w:p>
    <w:bookmarkStart w:id="52" w:name="X0c998c92f699123dac8673aacbda19275d8e43b"/>
    <w:p>
      <w:pPr>
        <w:pStyle w:val="Heading1"/>
      </w:pPr>
      <w:r>
        <w:t xml:space="preserve">OpenAI’s Cursor Cutoff Turns Model Access Into a Strategic Fault Line</w:t>
      </w:r>
    </w:p>
    <w:p>
      <w:pPr>
        <w:pStyle w:val="FirstParagraph"/>
      </w:pPr>
      <w:r>
        <w:rPr>
          <w:iCs/>
          <w:i/>
        </w:rPr>
        <w:t xml:space="preserve">By AI High Signal Digest • August 29, 2026</w:t>
      </w:r>
    </w:p>
    <w:p>
      <w:pPr>
        <w:pStyle w:val="BodyText"/>
      </w:pPr>
      <w:r>
        <w:t xml:space="preserve">OpenAI’s planned cutoff of Cursor after its SpaceX acquisition turns model access into a strategic control issue, while new open-weight releases and automated alignment research reshape the competitive landscape.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Model ownership, open-weight capability, and automated safety work are becoming strategic control points—not just product features.</w:t>
      </w:r>
      <w:r>
        <w:t xml:space="preserve"> </w:t>
      </w:r>
      <w:r>
        <w:t xml:space="preserve">[1, 2, 3]</w:t>
      </w:r>
    </w:p>
    <w:p>
      <w:pPr>
        <w:pStyle w:val="BodyText"/>
      </w:pPr>
      <w:r>
        <w:rPr>
          <w:bCs/>
          <w:b/>
        </w:rPr>
        <w:t xml:space="preserve">OpenAI is cutting off Cursor after SpaceX’s acquisition.</w:t>
      </w:r>
      <w:r>
        <w:t xml:space="preserve"> </w:t>
      </w:r>
      <w:r>
        <w:t xml:space="preserve">OpenAI says it will wind down the contract supplying models to Cursor, with a proposed November 12, 2026 shutoff. It cites uncertainty that SpaceX will keep the technology within OpenAI’s terms after prior Musk-company violations, ties the decision to accountability for the upcoming Astra model, and says it will not provide future models to Cursor; affected developers are promised extensive transition support. [1]</w:t>
      </w:r>
    </w:p>
    <w:p>
      <w:pPr>
        <w:pStyle w:val="BodyText"/>
      </w:pPr>
      <w:r>
        <w:rPr>
          <w:bCs/>
          <w:b/>
        </w:rPr>
        <w:t xml:space="preserve">The open-weight frontier is becoming a release-and-serving race.</w:t>
      </w:r>
      <w:r>
        <w:t xml:space="preserve"> </w:t>
      </w:r>
      <w:r>
        <w:t xml:space="preserve">Z.ai made GLM-5.3 downloadable and customizable; vLLM reports 744B total parameters, 40B active, 1M context, 128K output, and day-zero serving. Tencent’s Hy4 preview is 770B/49B active with 1M context; Arena’s early AutoEval placed it around #5 in Code Arena WebDev and #3 among open models, 115 points above Hy3, with live votes still pending. [4, 2, 5, 6]</w:t>
      </w:r>
    </w:p>
    <w:p>
      <w:pPr>
        <w:pStyle w:val="BodyText"/>
      </w:pPr>
      <w:r>
        <w:rPr>
          <w:bCs/>
          <w:b/>
        </w:rPr>
        <w:t xml:space="preserve">Anthropic reports AI-on-AI alignment.</w:t>
      </w:r>
      <w:r>
        <w:t xml:space="preserve"> </w:t>
      </w:r>
      <w:r>
        <w:t xml:space="preserve">Its automated alignment researchers improved ten measurable failure types, generalized to models up to 4.7× larger, and in a recursive test had Sonnet 5 post-train an early Opus 4.8 checkpoint to a 65% Petri score versus 72% for production Opus 4.8. Anthropic limits the evidence to benchmarkable failures and warns that harder agentic risks may receive feedback more slowly than capability advances. [3]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consequential frontier is being tested in laboratories and against uncertainty, not merely against plausible outputs.</w:t>
      </w:r>
      <w:r>
        <w:t xml:space="preserve"> </w:t>
      </w:r>
      <w:r>
        <w:t xml:space="preserve">[7, 8]</w:t>
      </w:r>
    </w:p>
    <w:p>
      <w:pPr>
        <w:pStyle w:val="BodyText"/>
      </w:pPr>
      <w:r>
        <w:rPr>
          <w:bCs/>
          <w:b/>
        </w:rPr>
        <w:t xml:space="preserve">Co-Scientist moved into real experiments.</w:t>
      </w:r>
      <w:r>
        <w:t xml:space="preserve"> </w:t>
      </w:r>
      <w:r>
        <w:t xml:space="preserve">The paper describes a semi-automated CVD experiment producing a lamellar 2D material structurally similar to Ti3C2Tx MXene,</w:t>
      </w:r>
      <w:r>
        <w:t xml:space="preserve"> </w:t>
      </w:r>
      <w:r>
        <w:rPr>
          <w:iCs/>
          <w:i/>
        </w:rPr>
        <w:t xml:space="preserve">E. coli</w:t>
      </w:r>
      <w:r>
        <w:t xml:space="preserve"> </w:t>
      </w:r>
      <w:r>
        <w:t xml:space="preserve">predictions matching unpublished wet-lab measurements, and an autonomous inference-time architecture outperforming six frontier models on HealthBench under blinded physician evaluation. [7]</w:t>
      </w:r>
    </w:p>
    <w:p>
      <w:pPr>
        <w:pStyle w:val="BodyText"/>
      </w:pPr>
      <w:r>
        <w:rPr>
          <w:bCs/>
          <w:b/>
        </w:rPr>
        <w:t xml:space="preserve">PAWBench separates realism from world modeling.</w:t>
      </w:r>
      <w:r>
        <w:t xml:space="preserve"> </w:t>
      </w:r>
      <w:r>
        <w:t xml:space="preserve">Across 50 physical scenarios, eight mechanisms, 11 video generators, and 50 runs from the same image and action, no model reliably captured both valid futures and their frequencies; even proposed fixes produced a requested outcome only 38–58% of the time. [9, 10, 11, 12]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Agents are entering delegated workflows while open media models move toward fast, reproducible serving.</w:t>
      </w:r>
      <w:r>
        <w:t xml:space="preserve"> </w:t>
      </w:r>
      <w:r>
        <w:t xml:space="preserve">[13, 14]</w:t>
      </w:r>
    </w:p>
    <w:p>
      <w:pPr>
        <w:pStyle w:val="BodyText"/>
      </w:pPr>
      <w:r>
        <w:rPr>
          <w:bCs/>
          <w:b/>
        </w:rPr>
        <w:t xml:space="preserve">Gemini Live is moving into delegation.</w:t>
      </w:r>
      <w:r>
        <w:t xml:space="preserve"> </w:t>
      </w:r>
      <w:r>
        <w:t xml:space="preserve">Google says Gemini 3.7 Flash improves multi-step Workspace use; Gemini Live can handle to-dos, while a Waymo integration adds a hands-free assistant independent of the driving system and inactive until engaged. [15, 13, 16]</w:t>
      </w:r>
    </w:p>
    <w:p>
      <w:pPr>
        <w:pStyle w:val="BodyText"/>
      </w:pPr>
      <w:r>
        <w:rPr>
          <w:bCs/>
          <w:b/>
        </w:rPr>
        <w:t xml:space="preserve">FastH3 v1</w:t>
      </w:r>
      <w:r>
        <w:t xml:space="preserve"> </w:t>
      </w:r>
      <w:r>
        <w:t xml:space="preserve">generates 15-second, 768p video in 13 seconds, with up to a 14× speedup on NVIDIA Blackwell GPUs; its acceleration recipe is open for community use and improvement. [14]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Capital is moving down the stack—from model training toward power, hardware, and physical deployment.</w:t>
      </w:r>
      <w:r>
        <w:t xml:space="preserve"> </w:t>
      </w:r>
      <w:r>
        <w:t xml:space="preserve">[17]</w:t>
      </w:r>
    </w:p>
    <w:p>
      <w:pPr>
        <w:pStyle w:val="BodyText"/>
      </w:pPr>
      <w:r>
        <w:rPr>
          <w:bCs/>
          <w:b/>
        </w:rPr>
        <w:t xml:space="preserve">a16z raised a $1.1B Machine Age Fund</w:t>
      </w:r>
      <w:r>
        <w:t xml:space="preserve"> </w:t>
      </w:r>
      <w:r>
        <w:t xml:space="preserve">spanning chips, memory, networking, storage, data centers, robotics, and home AI appliances. It says rack density has risen 28× from H100 to Rubin, while rack power moved from 5–10 kW to 100–250 kW and may reach 1 MW within three years. [17]</w:t>
      </w:r>
    </w:p>
    <w:p>
      <w:pPr>
        <w:pStyle w:val="BodyText"/>
      </w:pPr>
      <w:r>
        <w:rPr>
          <w:bCs/>
          <w:b/>
        </w:rPr>
        <w:t xml:space="preserve">Owner reports $240M raised, a $2.3B valuation, and $100M ARR</w:t>
      </w:r>
      <w:r>
        <w:t xml:space="preserve">, with Goldman Sachs Alternatives leading the round. [18]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Compute controls are extending from chip sales toward who can remotely access restricted capacity.</w:t>
      </w:r>
      <w:r>
        <w:t xml:space="preserve"> </w:t>
      </w:r>
      <w:r>
        <w:t xml:space="preserve">[19]</w:t>
      </w:r>
    </w:p>
    <w:p>
      <w:pPr>
        <w:pStyle w:val="BodyText"/>
      </w:pPr>
      <w:r>
        <w:rPr>
          <w:bCs/>
          <w:b/>
        </w:rPr>
        <w:t xml:space="preserve">The Trump administration is reportedly developing a rule</w:t>
      </w:r>
      <w:r>
        <w:t xml:space="preserve"> </w:t>
      </w:r>
      <w:r>
        <w:t xml:space="preserve">requiring overseas data centers to verify customers and prevent Chinese companies from using restricted compute, including through facilities in Thailand and Singapore. The source describes a developing proposal, not an enacted rule. [19]</w:t>
      </w:r>
    </w:p>
    <w:bookmarkEnd w:id="24"/>
    <w:bookmarkStart w:id="51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Evaluation hygiene, search efficiency, and serving software are moving alongside model releases.</w:t>
      </w:r>
      <w:r>
        <w:t xml:space="preserve"> </w:t>
      </w:r>
      <w:r>
        <w:t xml:space="preserve">[20, 21, 22]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Terminal-Bench 4.0</w:t>
      </w:r>
      <w:r>
        <w:t xml:space="preserve"> </w:t>
      </w:r>
      <w:r>
        <w:t xml:space="preserve">calibrates task time, CPU, and memory, fixes tasks, and removes saturated ones; maintainers say benchmarks will be versioned like software. [20, 23]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Perplexity Search</w:t>
      </w:r>
      <w:r>
        <w:t xml:space="preserve"> </w:t>
      </w:r>
      <w:r>
        <w:t xml:space="preserve">scored 80 versus 75 for prior leaders on Artificial Analysis; medium and high variants cost about $0.091 per task. [21]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Claude Code</w:t>
      </w:r>
      <w:r>
        <w:t xml:space="preserve"> </w:t>
      </w:r>
      <w:r>
        <w:t xml:space="preserve">made its Linux download 4.5× smaller at about 75 MB, cut native memory use by 40–70 MB per session, and added token/subagent usage visibility. [24, 25]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Agentic kernel optimization</w:t>
      </w:r>
      <w:r>
        <w:t xml:space="preserve"> </w:t>
      </w:r>
      <w:r>
        <w:t xml:space="preserve">reports 42.3% lower Qwen-Image latency, 15.2% lower FLUX.2 latency, and a 5.5% tokens-per-second gain on MiniMax M3. [22]</w:t>
      </w:r>
    </w:p>
    <w:p>
      <w:r>
        <w:pict>
          <v:rect style="width:0;height:1.5pt" o:hralign="center" o:hrstd="t" o:hr="t"/>
        </w:pict>
      </w:r>
    </w:p>
    <w:bookmarkStart w:id="50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Our decision on Cursor following its acquisition by SpaceX | OpenAI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Automated Researchers Can Reliably Mitigate Alignment Failures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@Zai_org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@TencentHunyuan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Accelerating Scientific Research with Gemini in the Real-World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@RisingSayak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@RisingSayak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@RisingSayak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@RisingSayak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@RisingSayak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@haoailab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@adamguild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@ryan_marten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@BrianLi23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@andykonwinski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bookmarkEnd w:id="50"/>
    <w:bookmarkEnd w:id="51"/>
    <w:bookmarkEnd w:id="5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s://alignment.anthropic.com/2026/automated-alignment-researchers/" TargetMode="External" /><Relationship Type="http://schemas.openxmlformats.org/officeDocument/2006/relationships/hyperlink" Id="rId31" Target="https://arxiv.org/abs/2608.26701" TargetMode="External" /><Relationship Type="http://schemas.openxmlformats.org/officeDocument/2006/relationships/hyperlink" Id="rId25" Target="https://openai.com/index/our-decision-on-cursor-following-its-acquisition-by-spacex/" TargetMode="External" /><Relationship Type="http://schemas.openxmlformats.org/officeDocument/2006/relationships/hyperlink" Id="rId45" Target="https://x.com/ArtificialAnlys/status/2093427938968666138" TargetMode="External" /><Relationship Type="http://schemas.openxmlformats.org/officeDocument/2006/relationships/hyperlink" Id="rId48" Target="https://x.com/ClaudeDevs/status/2093480631854678052" TargetMode="External" /><Relationship Type="http://schemas.openxmlformats.org/officeDocument/2006/relationships/hyperlink" Id="rId49" Target="https://x.com/ClaudeDevs/status/2093480633138057574" TargetMode="External" /><Relationship Type="http://schemas.openxmlformats.org/officeDocument/2006/relationships/hyperlink" Id="rId39" Target="https://x.com/GeminiApp/status/2093428593229787253" TargetMode="External" /><Relationship Type="http://schemas.openxmlformats.org/officeDocument/2006/relationships/hyperlink" Id="rId37" Target="https://x.com/GeminiApp/status/2093428595377213445" TargetMode="External" /><Relationship Type="http://schemas.openxmlformats.org/officeDocument/2006/relationships/hyperlink" Id="rId40" Target="https://x.com/GeminiApp/status/2093428599588258095" TargetMode="External" /><Relationship Type="http://schemas.openxmlformats.org/officeDocument/2006/relationships/hyperlink" Id="rId33" Target="https://x.com/RisingSayak/status/2093292166978412770" TargetMode="External" /><Relationship Type="http://schemas.openxmlformats.org/officeDocument/2006/relationships/hyperlink" Id="rId34" Target="https://x.com/RisingSayak/status/2093292170174435766" TargetMode="External" /><Relationship Type="http://schemas.openxmlformats.org/officeDocument/2006/relationships/hyperlink" Id="rId35" Target="https://x.com/RisingSayak/status/2093292175161250207" TargetMode="External" /><Relationship Type="http://schemas.openxmlformats.org/officeDocument/2006/relationships/hyperlink" Id="rId36" Target="https://x.com/RisingSayak/status/2093292196778963202" TargetMode="External" /><Relationship Type="http://schemas.openxmlformats.org/officeDocument/2006/relationships/hyperlink" Id="rId32" Target="https://x.com/RisingSayak/status/2093292199731757320" TargetMode="External" /><Relationship Type="http://schemas.openxmlformats.org/officeDocument/2006/relationships/hyperlink" Id="rId29" Target="https://x.com/TencentHunyuan/status/2093222928720761009" TargetMode="External" /><Relationship Type="http://schemas.openxmlformats.org/officeDocument/2006/relationships/hyperlink" Id="rId28" Target="https://x.com/Zai_org/status/2093354097122455713" TargetMode="External" /><Relationship Type="http://schemas.openxmlformats.org/officeDocument/2006/relationships/hyperlink" Id="rId42" Target="https://x.com/adamguild/status/2093375217120784579" TargetMode="External" /><Relationship Type="http://schemas.openxmlformats.org/officeDocument/2006/relationships/hyperlink" Id="rId47" Target="https://x.com/andykonwinski/status/2093546618578727176" TargetMode="External" /><Relationship Type="http://schemas.openxmlformats.org/officeDocument/2006/relationships/hyperlink" Id="rId30" Target="https://x.com/arena/status/2093224696745492802" TargetMode="External" /><Relationship Type="http://schemas.openxmlformats.org/officeDocument/2006/relationships/hyperlink" Id="rId38" Target="https://x.com/haoailab/status/2093391548289540596" TargetMode="External" /><Relationship Type="http://schemas.openxmlformats.org/officeDocument/2006/relationships/hyperlink" Id="rId41" Target="https://x.com/i/article/2093207144376012800" TargetMode="External" /><Relationship Type="http://schemas.openxmlformats.org/officeDocument/2006/relationships/hyperlink" Id="rId46" Target="https://x.com/i/article/2093459826085117953" TargetMode="External" /><Relationship Type="http://schemas.openxmlformats.org/officeDocument/2006/relationships/hyperlink" Id="rId43" Target="https://x.com/kimmonismus/status/2093335192421187973" TargetMode="External" /><Relationship Type="http://schemas.openxmlformats.org/officeDocument/2006/relationships/hyperlink" Id="rId44" Target="https://x.com/ryan_marten/status/2093523335972036657" TargetMode="External" /><Relationship Type="http://schemas.openxmlformats.org/officeDocument/2006/relationships/hyperlink" Id="rId26" Target="https://x.com/vllm_project/status/209335475624499238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s://alignment.anthropic.com/2026/automated-alignment-researchers/" TargetMode="External" /><Relationship Type="http://schemas.openxmlformats.org/officeDocument/2006/relationships/hyperlink" Id="rId31" Target="https://arxiv.org/abs/2608.26701" TargetMode="External" /><Relationship Type="http://schemas.openxmlformats.org/officeDocument/2006/relationships/hyperlink" Id="rId25" Target="https://openai.com/index/our-decision-on-cursor-following-its-acquisition-by-spacex/" TargetMode="External" /><Relationship Type="http://schemas.openxmlformats.org/officeDocument/2006/relationships/hyperlink" Id="rId45" Target="https://x.com/ArtificialAnlys/status/2093427938968666138" TargetMode="External" /><Relationship Type="http://schemas.openxmlformats.org/officeDocument/2006/relationships/hyperlink" Id="rId48" Target="https://x.com/ClaudeDevs/status/2093480631854678052" TargetMode="External" /><Relationship Type="http://schemas.openxmlformats.org/officeDocument/2006/relationships/hyperlink" Id="rId49" Target="https://x.com/ClaudeDevs/status/2093480633138057574" TargetMode="External" /><Relationship Type="http://schemas.openxmlformats.org/officeDocument/2006/relationships/hyperlink" Id="rId39" Target="https://x.com/GeminiApp/status/2093428593229787253" TargetMode="External" /><Relationship Type="http://schemas.openxmlformats.org/officeDocument/2006/relationships/hyperlink" Id="rId37" Target="https://x.com/GeminiApp/status/2093428595377213445" TargetMode="External" /><Relationship Type="http://schemas.openxmlformats.org/officeDocument/2006/relationships/hyperlink" Id="rId40" Target="https://x.com/GeminiApp/status/2093428599588258095" TargetMode="External" /><Relationship Type="http://schemas.openxmlformats.org/officeDocument/2006/relationships/hyperlink" Id="rId33" Target="https://x.com/RisingSayak/status/2093292166978412770" TargetMode="External" /><Relationship Type="http://schemas.openxmlformats.org/officeDocument/2006/relationships/hyperlink" Id="rId34" Target="https://x.com/RisingSayak/status/2093292170174435766" TargetMode="External" /><Relationship Type="http://schemas.openxmlformats.org/officeDocument/2006/relationships/hyperlink" Id="rId35" Target="https://x.com/RisingSayak/status/2093292175161250207" TargetMode="External" /><Relationship Type="http://schemas.openxmlformats.org/officeDocument/2006/relationships/hyperlink" Id="rId36" Target="https://x.com/RisingSayak/status/2093292196778963202" TargetMode="External" /><Relationship Type="http://schemas.openxmlformats.org/officeDocument/2006/relationships/hyperlink" Id="rId32" Target="https://x.com/RisingSayak/status/2093292199731757320" TargetMode="External" /><Relationship Type="http://schemas.openxmlformats.org/officeDocument/2006/relationships/hyperlink" Id="rId29" Target="https://x.com/TencentHunyuan/status/2093222928720761009" TargetMode="External" /><Relationship Type="http://schemas.openxmlformats.org/officeDocument/2006/relationships/hyperlink" Id="rId28" Target="https://x.com/Zai_org/status/2093354097122455713" TargetMode="External" /><Relationship Type="http://schemas.openxmlformats.org/officeDocument/2006/relationships/hyperlink" Id="rId42" Target="https://x.com/adamguild/status/2093375217120784579" TargetMode="External" /><Relationship Type="http://schemas.openxmlformats.org/officeDocument/2006/relationships/hyperlink" Id="rId47" Target="https://x.com/andykonwinski/status/2093546618578727176" TargetMode="External" /><Relationship Type="http://schemas.openxmlformats.org/officeDocument/2006/relationships/hyperlink" Id="rId30" Target="https://x.com/arena/status/2093224696745492802" TargetMode="External" /><Relationship Type="http://schemas.openxmlformats.org/officeDocument/2006/relationships/hyperlink" Id="rId38" Target="https://x.com/haoailab/status/2093391548289540596" TargetMode="External" /><Relationship Type="http://schemas.openxmlformats.org/officeDocument/2006/relationships/hyperlink" Id="rId41" Target="https://x.com/i/article/2093207144376012800" TargetMode="External" /><Relationship Type="http://schemas.openxmlformats.org/officeDocument/2006/relationships/hyperlink" Id="rId46" Target="https://x.com/i/article/2093459826085117953" TargetMode="External" /><Relationship Type="http://schemas.openxmlformats.org/officeDocument/2006/relationships/hyperlink" Id="rId43" Target="https://x.com/kimmonismus/status/2093335192421187973" TargetMode="External" /><Relationship Type="http://schemas.openxmlformats.org/officeDocument/2006/relationships/hyperlink" Id="rId44" Target="https://x.com/ryan_marten/status/2093523335972036657" TargetMode="External" /><Relationship Type="http://schemas.openxmlformats.org/officeDocument/2006/relationships/hyperlink" Id="rId26" Target="https://x.com/vllm_project/status/209335475624499238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OpenAI’s Cursor Cutoff Turns Model Access Into a Strategic Fault Line</dc:title>
  <dc:creator>AI High Signal Digest</dc:creator>
  <cp:keywords/>
  <dcterms:created xsi:type="dcterms:W3CDTF">2026-08-30T06:36:20Z</dcterms:created>
  <dcterms:modified xsi:type="dcterms:W3CDTF">2026-08-30T06:36:20Z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2026-08-29</vt:lpwstr>
  </property>
</Properties>
</file>