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OpenAI’s Navier–Stokes Claim Puts Verification and Provenance at the Center of AI-for-Science</w:t>
      </w:r>
    </w:p>
    <w:p>
      <w:pPr>
        <w:pStyle w:val="Author"/>
      </w:pPr>
      <w:r>
        <w:t xml:space="preserve">VC Tech Radar</w:t>
      </w:r>
    </w:p>
    <w:p>
      <w:pPr>
        <w:pStyle w:val="Date"/>
      </w:pPr>
      <w:r>
        <w:t xml:space="preserve">2026-09-09</w:t>
      </w:r>
    </w:p>
    <w:bookmarkStart w:id="47" w:name="X32ac93d7de49dfdc4feb94172eed54ba2f96d0b"/>
    <w:p>
      <w:pPr>
        <w:pStyle w:val="Heading1"/>
      </w:pPr>
      <w:r>
        <w:t xml:space="preserve">OpenAI’s Navier–Stokes Claim Puts Verification and Provenance at the Center of AI-for-Science</w:t>
      </w:r>
    </w:p>
    <w:p>
      <w:pPr>
        <w:pStyle w:val="FirstParagraph"/>
      </w:pPr>
      <w:r>
        <w:rPr>
          <w:iCs/>
          <w:i/>
        </w:rPr>
        <w:t xml:space="preserve">By VC Tech Radar • September 9, 2026</w:t>
      </w:r>
    </w:p>
    <w:p>
      <w:pPr>
        <w:pStyle w:val="BodyText"/>
      </w:pPr>
      <w:r>
        <w:t xml:space="preserve">The strongest signal is a frontier-math announcement whose investment significance depends as much on independent validation and data provenance as on raw model capability. Around it, a $15M Series A, local and vertical AI teams, and a fast-forming control layer for agents sharpen the investable map.</w:t>
      </w:r>
    </w:p>
    <w:bookmarkStart w:id="20" w:name="funding-deals"/>
    <w:p>
      <w:pPr>
        <w:pStyle w:val="Heading2"/>
      </w:pPr>
      <w:r>
        <w:t xml:space="preserve">1. Funding &amp; Deals</w:t>
      </w:r>
    </w:p>
    <w:p>
      <w:pPr>
        <w:pStyle w:val="FirstParagraph"/>
      </w:pPr>
      <w:r>
        <w:rPr>
          <w:bCs/>
          <w:b/>
        </w:rPr>
        <w:t xml:space="preserve">Centralize (YC W24) raised a $15M Series A for enterprise relationship intelligence.</w:t>
      </w:r>
      <w:r>
        <w:t xml:space="preserve"> </w:t>
      </w:r>
      <w:r>
        <w:t xml:space="preserve">Its product turns emails, calls, CRM data, and other customer interactions into org charts showing who a sales team knows, is missing, and which relationships could help win an account. The announcement says teams at Cognition, Intercom, Brex, and Exa use it, and that one customer converted a stalled six-month sales process into an eight-figure deal. [1] The thesis is a</w:t>
      </w:r>
      <w:r>
        <w:t xml:space="preserve"> </w:t>
      </w:r>
      <w:r>
        <w:t xml:space="preserve">“</w:t>
      </w:r>
      <w:r>
        <w:t xml:space="preserve">trust graph</w:t>
      </w:r>
      <w:r>
        <w:t xml:space="preserve">”</w:t>
      </w:r>
      <w:r>
        <w:t xml:space="preserve"> </w:t>
      </w:r>
      <w:r>
        <w:t xml:space="preserve">for enterprise sales: a narrow, data-rich wedge where institutional relationships are the asset. The next diligence question is repeatability; the evidence supplied here is a strong case study, not a cohort view. [1]</w:t>
      </w:r>
    </w:p>
    <w:bookmarkEnd w:id="20"/>
    <w:bookmarkStart w:id="21" w:name="emerging-teams"/>
    <w:p>
      <w:pPr>
        <w:pStyle w:val="Heading2"/>
      </w:pPr>
      <w:r>
        <w:t xml:space="preserve">2. Emerging Teams</w:t>
      </w:r>
    </w:p>
    <w:p>
      <w:pPr>
        <w:pStyle w:val="FirstParagraph"/>
      </w:pPr>
      <w:r>
        <w:rPr>
          <w:bCs/>
          <w:b/>
        </w:rPr>
        <w:t xml:space="preserve">Open Analytics is the clearest early traction signal in the current set, combining experienced bootstrapping with a privacy and MCP wedge.</w:t>
      </w:r>
      <w:r>
        <w:t xml:space="preserve"> </w:t>
      </w:r>
      <w:r>
        <w:t xml:space="preserve">Its founder reports more than 10 years as a software engineer, over 10 launched products, and four exits. The product is open-source, AI-native, and privacy-first, with AI-chat access, native MCP, a CLI, a public API, GDPR-ready positioning, and self-hosting under AGPL. [2] The team reports more than 500 unique clones in its first 14 days, $200 MRR in week one, a #2 Product Hunt ranking, and $1,000 MRR near the end of its first month. Its headline says</w:t>
      </w:r>
      <w:r>
        <w:t xml:space="preserve"> </w:t>
      </w:r>
      <w:r>
        <w:t xml:space="preserve">“</w:t>
      </w:r>
      <w:r>
        <w:t xml:space="preserve">300+ users and 1k mrr in 3 weeks,</w:t>
      </w:r>
      <w:r>
        <w:t xml:space="preserve">”</w:t>
      </w:r>
      <w:r>
        <w:t xml:space="preserve"> </w:t>
      </w:r>
      <w:r>
        <w:t xml:space="preserve">while the body says it crossed $1,000 MRR near the end of month one—a small but material diligence discrepancy. [2] Removing the free plan for a seven-day trial with a card reportedly improved customer quality and feedback. [2]</w:t>
      </w:r>
    </w:p>
    <w:p>
      <w:pPr>
        <w:pStyle w:val="BodyText"/>
      </w:pPr>
      <w:r>
        <w:rPr>
          <w:bCs/>
          <w:b/>
        </w:rPr>
        <w:t xml:space="preserve">NavigateAI pairs repeat-founder pedigree with a vertical, hands-free workflow.</w:t>
      </w:r>
      <w:r>
        <w:t xml:space="preserve"> </w:t>
      </w:r>
      <w:r>
        <w:t xml:space="preserve">Eric Wu, who built and ran Opendoor before stepping away in 2022, has taken the company out of stealth to build AI copilots that give construction workers real-time guidance through smartphones and Meta’s AI glasses. [3] Sarah Guo describes the mission as serving construction workers and field laborers. [4] The differentiated bet is domain context and interface design at the jobsite rather than another general chat surface.</w:t>
      </w:r>
    </w:p>
    <w:p>
      <w:pPr>
        <w:pStyle w:val="BodyText"/>
      </w:pPr>
      <w:r>
        <w:rPr>
          <w:bCs/>
          <w:b/>
        </w:rPr>
        <w:t xml:space="preserve">Desert Ant Labs is a fresh local-inference signal.</w:t>
      </w:r>
      <w:r>
        <w:t xml:space="preserve"> </w:t>
      </w:r>
      <w:r>
        <w:t xml:space="preserve">The European frontier-AI lab launched with 18 models across audio, vision, and text, plus SDKs for Swift, Kotlin, and JavaScript; its positioning is explicit:</w:t>
      </w:r>
      <w:r>
        <w:t xml:space="preserve"> </w:t>
      </w:r>
      <w:r>
        <w:t xml:space="preserve">“</w:t>
      </w:r>
      <w:r>
        <w:t xml:space="preserve">No tokens. No logins. Nothing leaves the device.</w:t>
      </w:r>
      <w:r>
        <w:t xml:space="preserve">”</w:t>
      </w:r>
      <w:r>
        <w:t xml:space="preserve"> </w:t>
      </w:r>
      <w:r>
        <w:t xml:space="preserve">[5]</w:t>
      </w:r>
    </w:p>
    <w:bookmarkEnd w:id="21"/>
    <w:bookmarkStart w:id="22" w:name="ai-tech-breakthroughs"/>
    <w:p>
      <w:pPr>
        <w:pStyle w:val="Heading2"/>
      </w:pPr>
      <w:r>
        <w:t xml:space="preserve">3. AI &amp; Tech Breakthroughs</w:t>
      </w:r>
    </w:p>
    <w:p>
      <w:pPr>
        <w:pStyle w:val="FirstParagraph"/>
      </w:pPr>
      <w:r>
        <w:rPr>
          <w:bCs/>
          <w:b/>
        </w:rPr>
        <w:t xml:space="preserve">OpenAI’s claimed Navier–Stokes result is the period’s most consequential technical signal—and its clearest diligence trap.</w:t>
      </w:r>
      <w:r>
        <w:t xml:space="preserve"> </w:t>
      </w:r>
      <w:r>
        <w:t xml:space="preserve">OpenAI says a group of agents, using a next-generation model it describes as significantly more capable than GPT-6 Astra, produced a solution to the roughly 90-year-old Navier–Stokes Millennium Prize Problem. [6] Sam Altman says OpenAI initially believed another team had solved the same problem, sought a joint release and offered that team publication priority; after seeing its work, OpenAI said the approaches appeared different and that the other team had solved Euler, not Navier–Stokes. [7] OpenAI also says no specific user data was accessed to solve the problem, but that it cannot rule out de-identified data derived from product usage having helped improve its models, while asserting that the proofs differ. [8] For investors, the announcement should be underwritten as a major capability claim whose value still depends on independent mathematical validation and a clean provenance story.</w:t>
      </w:r>
    </w:p>
    <w:p>
      <w:pPr>
        <w:pStyle w:val="BodyText"/>
      </w:pPr>
      <w:r>
        <w:rPr>
          <w:bCs/>
          <w:b/>
        </w:rPr>
        <w:t xml:space="preserve">Agent infrastructure is becoming explicit context-and-identity plumbing.</w:t>
      </w:r>
      <w:r>
        <w:t xml:space="preserve"> </w:t>
      </w:r>
      <w:r>
        <w:t xml:space="preserve">LangChain’s Deep Agents now supports isolated subagents with fresh context and forked subagents that inherit the supervisor’s state; forking is designed to preserve prompt caching and reduce repeated context-gathering work. [9] Its Managed Connections abstraction separately packages agent-versus-user identity, OAuth token storage and refresh, and consent flows behind a single argument in</w:t>
      </w:r>
      <w:r>
        <w:t xml:space="preserve"> </w:t>
      </w:r>
      <w:r>
        <w:rPr>
          <w:rStyle w:val="VerbatimChar"/>
        </w:rPr>
        <w:t xml:space="preserve">managed-deepagents</w:t>
      </w:r>
      <w:r>
        <w:t xml:space="preserve"> </w:t>
      </w:r>
      <w:r>
        <w:t xml:space="preserve">0.7. [10] The investable shift is from raw model access toward reusable context, permission boundaries, and deployable control planes.</w:t>
      </w:r>
    </w:p>
    <w:p>
      <w:pPr>
        <w:pStyle w:val="BodyText"/>
      </w:pPr>
      <w:r>
        <w:rPr>
          <w:bCs/>
          <w:b/>
        </w:rPr>
        <w:t xml:space="preserve">Open-model competition is splitting along licensing and efficiency lines.</w:t>
      </w:r>
      <w:r>
        <w:t xml:space="preserve"> </w:t>
      </w:r>
      <w:r>
        <w:t xml:space="preserve">Interconnects notes that Google and Meta have moved to Apache 2.0, while Kimi K3 and MiniMax M3 impose commercial or revenue-linked restrictions and prohibited-use terms; GLM-5.3 adds a security-review clause for qualifying Model-as-a-Service businesses above $10 billion in aggregate revenue. [11] The same survey highlights Qwen3.8-Flash-Next’s sparse-attention design and Ling 3.0-flash’s KDA-plus-Gated-MLA hybrid architecture. [11] Model diligence now needs legal compatibility and serving economics alongside benchmark rank.</w:t>
      </w:r>
    </w:p>
    <w:bookmarkEnd w:id="22"/>
    <w:bookmarkStart w:id="23" w:name="market-signals"/>
    <w:p>
      <w:pPr>
        <w:pStyle w:val="Heading2"/>
      </w:pPr>
      <w:r>
        <w:t xml:space="preserve">4. Market Signals</w:t>
      </w:r>
    </w:p>
    <w:p>
      <w:pPr>
        <w:pStyle w:val="FirstParagraph"/>
      </w:pPr>
      <w:r>
        <w:rPr>
          <w:bCs/>
          <w:b/>
        </w:rPr>
        <w:t xml:space="preserve">Code generation is moving review from a blanket human gate to risk routing.</w:t>
      </w:r>
      <w:r>
        <w:t xml:space="preserve"> </w:t>
      </w:r>
      <w:r>
        <w:t xml:space="preserve">The number of GitHub pull requests opened has increased fivefold over three years, while PRs and commits nearly doubled toward the end of 2025; teams are responding with vendor reviewers, multi-agent review systems, and agents that apply fixes. [12] Five-person cloud and AI cost-management startup Duckbill made human review mandatory for changes touching public APIs/MCP, authentication, the design system, non-additive database schemas, or agent skills, while strengthening tests, observability, linting, and type checking. Its reported merged PRs rose from 353 to 684, and median merge time was one hour without human review versus 26 hours with it. [12] The investable wedge is therefore not code generation alone: it is deciding which changes require human judgment and filtering the noise before it reaches engineers. [12]</w:t>
      </w:r>
    </w:p>
    <w:p>
      <w:pPr>
        <w:pStyle w:val="BodyText"/>
      </w:pPr>
      <w:r>
        <w:rPr>
          <w:bCs/>
          <w:b/>
        </w:rPr>
        <w:t xml:space="preserve">The</w:t>
      </w:r>
      <w:r>
        <w:rPr>
          <w:bCs/>
          <w:b/>
        </w:rPr>
        <w:t xml:space="preserve"> </w:t>
      </w:r>
      <w:r>
        <w:rPr>
          <w:bCs/>
          <w:b/>
        </w:rPr>
        <w:t xml:space="preserve">“</w:t>
      </w:r>
      <w:r>
        <w:rPr>
          <w:bCs/>
          <w:b/>
        </w:rPr>
        <w:t xml:space="preserve">software factory</w:t>
      </w:r>
      <w:r>
        <w:rPr>
          <w:bCs/>
          <w:b/>
        </w:rPr>
        <w:t xml:space="preserve">”</w:t>
      </w:r>
      <w:r>
        <w:rPr>
          <w:bCs/>
          <w:b/>
        </w:rPr>
        <w:t xml:space="preserve"> </w:t>
      </w:r>
      <w:r>
        <w:rPr>
          <w:bCs/>
          <w:b/>
        </w:rPr>
        <w:t xml:space="preserve">thesis moves diligence from activity to capability.</w:t>
      </w:r>
      <w:r>
        <w:t xml:space="preserve"> </w:t>
      </w:r>
      <w:r>
        <w:t xml:space="preserve">The current framing is that engineering teams build the harness—company context, permissions, evaluations, model routing, and guardrails—that lets non-engineers safely create software. [13] Its proposed test is whether an organization can See, Build, Propagate, Remember, and Notice, rather than how many seats, tokens, agents, or lines of generated code it has. [13] The warning is</w:t>
      </w:r>
      <w:r>
        <w:t xml:space="preserve"> </w:t>
      </w:r>
      <w:r>
        <w:t xml:space="preserve">“</w:t>
      </w:r>
      <w:r>
        <w:t xml:space="preserve">ROI rot</w:t>
      </w:r>
      <w:r>
        <w:t xml:space="preserve">”</w:t>
      </w:r>
      <w:r>
        <w:t xml:space="preserve">: rising agent activity and token consumption can coexist with unused agents, unevaluated workflows, unmaintained software, and little change in the business. [13]</w:t>
      </w:r>
    </w:p>
    <w:p>
      <w:pPr>
        <w:pStyle w:val="BodyText"/>
      </w:pPr>
      <w:r>
        <w:rPr>
          <w:bCs/>
          <w:b/>
        </w:rPr>
        <w:t xml:space="preserve">Enterprise-AI traction is being reported in retention, usage, win rate, and margin—not demos alone.</w:t>
      </w:r>
      <w:r>
        <w:t xml:space="preserve"> </w:t>
      </w:r>
      <w:r>
        <w:t xml:space="preserve">Paul Graham cites Legora’s reported 9x annual growth, 78% competitive-pilot win rate, and 95% gross retention. [14] A Legora post adds more than 300% NRR, DAU/MAU above 50%, 17 hours of monthly active-user time, and positive gross margin that is improving each quarter. [15] These are company-reported figures, but they provide a useful underwriting template for workflow AI: retention and gross margin matter more than logo count or raw activity.</w:t>
      </w:r>
    </w:p>
    <w:bookmarkEnd w:id="23"/>
    <w:bookmarkStart w:id="46"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Inside OpenAI’s Breakthroughs in Mathematical Reasoning</w:t>
        </w:r>
      </w:hyperlink>
      <w:r>
        <w:rPr>
          <w:bCs/>
          <w:b/>
        </w:rPr>
        <w:t xml:space="preserve">.</w:t>
      </w:r>
      <w:r>
        <w:t xml:space="preserve"> </w:t>
      </w:r>
      <w:r>
        <w:t xml:space="preserve">The researchers describe Astra as making selective strategic bets, executing finicky details, and backtracking rather than brute-forcing every path; they also acknowledge that human judgment still helped select a promising direction and that validation, explanation, and knowledge organization become more important as proving gets cheaper. [16]</w:t>
      </w:r>
      <w:r>
        <w:t xml:space="preserve"> </w:t>
      </w:r>
      <w:hyperlink r:id="rId28">
        <w:r>
          <w:drawing>
            <wp:inline>
              <wp:extent cx="5334000" cy="4000500"/>
              <wp:effectExtent b="0" l="0" r="0" t="0"/>
              <wp:docPr descr="Inside OpenAI’s Breakthroughs in Mathematical Reasoning" title="" id="26" name="Picture"/>
              <a:graphic>
                <a:graphicData uri="http://schemas.openxmlformats.org/drawingml/2006/picture">
                  <pic:pic>
                    <pic:nvPicPr>
                      <pic:cNvPr descr="https://img.youtube.com/vi/1JvyLGd2Sfs/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Inside OpenAI’s Breakthroughs in Mathematical Reasoning (7:04)</w:t>
      </w:r>
    </w:p>
    <w:p>
      <w:pPr>
        <w:numPr>
          <w:ilvl w:val="0"/>
          <w:numId w:val="1001"/>
        </w:numPr>
      </w:pPr>
      <w:r>
        <w:rPr>
          <w:bCs/>
          <w:b/>
        </w:rPr>
        <w:t xml:space="preserve">Read —</w:t>
      </w:r>
      <w:r>
        <w:rPr>
          <w:bCs/>
          <w:b/>
        </w:rPr>
        <w:t xml:space="preserve"> </w:t>
      </w:r>
      <w:hyperlink r:id="rId29">
        <w:r>
          <w:rPr>
            <w:rStyle w:val="Hyperlink"/>
            <w:bCs/>
            <w:b/>
          </w:rPr>
          <w:t xml:space="preserve">What is happening with code reviews?</w:t>
        </w:r>
      </w:hyperlink>
      <w:r>
        <w:rPr>
          <w:bCs/>
          <w:b/>
        </w:rPr>
        <w:t xml:space="preserve">.</w:t>
      </w:r>
      <w:r>
        <w:t xml:space="preserve"> </w:t>
      </w:r>
      <w:r>
        <w:t xml:space="preserve">A practical account of the shift toward adversarial agents, human scope decisions, risk-based review, noise filtering, and schema-first oversight. [12]</w:t>
      </w:r>
    </w:p>
    <w:p>
      <w:pPr>
        <w:numPr>
          <w:ilvl w:val="0"/>
          <w:numId w:val="1001"/>
        </w:numPr>
      </w:pPr>
      <w:r>
        <w:rPr>
          <w:bCs/>
          <w:b/>
        </w:rPr>
        <w:t xml:space="preserve">Read —</w:t>
      </w:r>
      <w:r>
        <w:rPr>
          <w:bCs/>
          <w:b/>
        </w:rPr>
        <w:t xml:space="preserve"> </w:t>
      </w:r>
      <w:hyperlink r:id="rId30">
        <w:r>
          <w:rPr>
            <w:rStyle w:val="Hyperlink"/>
            <w:bCs/>
            <w:b/>
          </w:rPr>
          <w:t xml:space="preserve">Latest open artifacts (#24)</w:t>
        </w:r>
      </w:hyperlink>
      <w:r>
        <w:rPr>
          <w:bCs/>
          <w:b/>
        </w:rPr>
        <w:t xml:space="preserve">.</w:t>
      </w:r>
      <w:r>
        <w:t xml:space="preserve"> </w:t>
      </w:r>
      <w:r>
        <w:t xml:space="preserve">A compact map of open-model licensing divergence and architecture-level efficiency, including Motif-3’s resource-efficient, MIT-licensed release and the sparse or hybrid designs appearing in newer models. [11]</w:t>
      </w:r>
    </w:p>
    <w:p>
      <w:r>
        <w:pict>
          <v:rect style="width:0;height:1.5pt" o:hralign="center" o:hrstd="t" o:hr="t"/>
        </w:pict>
      </w:r>
    </w:p>
    <w:bookmarkStart w:id="45" w:name="sources"/>
    <w:p>
      <w:pPr>
        <w:pStyle w:val="Heading3"/>
      </w:pPr>
      <w:r>
        <w:t xml:space="preserve">Sources</w:t>
      </w:r>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32">
        <w:r>
          <w:rPr>
            <w:rStyle w:val="Hyperlink"/>
          </w:rPr>
          <w:t xml:space="preserve">r/SaaS post by u/Ann_fornicatress</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@TechCrunch</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@saranormous</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@desertantlabs</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@sama</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39">
        <w:r>
          <w:rPr>
            <w:rStyle w:val="Hyperlink"/>
          </w:rPr>
          <w:t xml:space="preserve">𝕏 article by</w:t>
        </w:r>
        <w:r>
          <w:rPr>
            <w:rStyle w:val="Hyperlink"/>
          </w:rPr>
          <w:t xml:space="preserve"> </w:t>
        </w:r>
        <w:r>
          <w:rPr>
            <w:rStyle w:val="Hyperlink"/>
          </w:rPr>
          <w:t xml:space="preserve">@LangChain_OSS</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@caspar_br</w:t>
        </w:r>
      </w:hyperlink>
    </w:p>
    <w:p>
      <w:pPr>
        <w:numPr>
          <w:ilvl w:val="0"/>
          <w:numId w:val="1002"/>
        </w:numPr>
        <w:pStyle w:val="Compact"/>
      </w:pPr>
      <w:hyperlink r:id="rId41">
        <w:r>
          <w:rPr>
            <w:rStyle w:val="Hyperlink"/>
          </w:rPr>
          <w:t xml:space="preserve">Latest open artifacts (#24): Motif-3, GLM-5.3, Hy4-preview and open model licenses</w:t>
        </w:r>
      </w:hyperlink>
    </w:p>
    <w:p>
      <w:pPr>
        <w:numPr>
          <w:ilvl w:val="0"/>
          <w:numId w:val="1002"/>
        </w:numPr>
        <w:pStyle w:val="Compact"/>
      </w:pPr>
      <w:hyperlink r:id="rId29">
        <w:r>
          <w:rPr>
            <w:rStyle w:val="Hyperlink"/>
          </w:rPr>
          <w:t xml:space="preserve">What is happening with code reviews?</w:t>
        </w:r>
      </w:hyperlink>
    </w:p>
    <w:p>
      <w:pPr>
        <w:numPr>
          <w:ilvl w:val="0"/>
          <w:numId w:val="1002"/>
        </w:numPr>
        <w:pStyle w:val="Compact"/>
      </w:pPr>
      <w:hyperlink r:id="rId42">
        <w:r>
          <w:rPr>
            <w:rStyle w:val="Hyperlink"/>
          </w:rPr>
          <w:t xml:space="preserve">𝕏 article by</w:t>
        </w:r>
        <w:r>
          <w:rPr>
            <w:rStyle w:val="Hyperlink"/>
          </w:rPr>
          <w:t xml:space="preserve"> </w:t>
        </w:r>
        <w:r>
          <w:rPr>
            <w:rStyle w:val="Hyperlink"/>
          </w:rPr>
          <w:t xml:space="preserve">@annimaniac</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@paulg</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@davidneckstein</w:t>
        </w:r>
      </w:hyperlink>
    </w:p>
    <w:p>
      <w:pPr>
        <w:numPr>
          <w:ilvl w:val="0"/>
          <w:numId w:val="1002"/>
        </w:numPr>
        <w:pStyle w:val="Compact"/>
      </w:pPr>
      <w:hyperlink r:id="rId24">
        <w:r>
          <w:rPr>
            <w:rStyle w:val="Hyperlink"/>
          </w:rPr>
          <w:t xml:space="preserve">Inside OpenAI’s Breakthroughs in Mathematical Reasoning</w:t>
        </w:r>
      </w:hyperlink>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hyperlink" Id="rId29" Target="https://newsletter.pragmaticengineer.com/p/what-is-happening-with-code-reviews" TargetMode="External" /><Relationship Type="http://schemas.openxmlformats.org/officeDocument/2006/relationships/hyperlink" Id="rId30" Target="https://www.interconnects.ai/p/latest-open-artifacts-24" TargetMode="External" /><Relationship Type="http://schemas.openxmlformats.org/officeDocument/2006/relationships/hyperlink" Id="rId41" Target="https://www.interconnects.ai/p/latest-open-artifacts-24-motif-3" TargetMode="External" /><Relationship Type="http://schemas.openxmlformats.org/officeDocument/2006/relationships/hyperlink" Id="rId32" Target="https://www.reddit.com/r/SaaS/comments/1wavdh6/" TargetMode="External" /><Relationship Type="http://schemas.openxmlformats.org/officeDocument/2006/relationships/hyperlink" Id="rId24" Target="https://www.youtube.com/watch?v=1JvyLGd2Sfs" TargetMode="External" /><Relationship Type="http://schemas.openxmlformats.org/officeDocument/2006/relationships/hyperlink" Id="rId36" Target="https://x.com/OpenAI/status/2097374640582668336" TargetMode="External" /><Relationship Type="http://schemas.openxmlformats.org/officeDocument/2006/relationships/hyperlink" Id="rId38" Target="https://x.com/OpenAI/status/2097375276384567642" TargetMode="External" /><Relationship Type="http://schemas.openxmlformats.org/officeDocument/2006/relationships/hyperlink" Id="rId33" Target="https://x.com/TechCrunch/status/2097148188712927635" TargetMode="External" /><Relationship Type="http://schemas.openxmlformats.org/officeDocument/2006/relationships/hyperlink" Id="rId40" Target="https://x.com/caspar_br/status/2097424144459874412" TargetMode="External" /><Relationship Type="http://schemas.openxmlformats.org/officeDocument/2006/relationships/hyperlink" Id="rId44" Target="https://x.com/davidneckstein/status/2097283783426703743" TargetMode="External" /><Relationship Type="http://schemas.openxmlformats.org/officeDocument/2006/relationships/hyperlink" Id="rId35" Target="https://x.com/desertantlabs/status/2097337888669139285" TargetMode="External" /><Relationship Type="http://schemas.openxmlformats.org/officeDocument/2006/relationships/hyperlink" Id="rId42" Target="https://x.com/i/article/2094514558396477440" TargetMode="External" /><Relationship Type="http://schemas.openxmlformats.org/officeDocument/2006/relationships/hyperlink" Id="rId39" Target="https://x.com/i/article/2097355601433247745" TargetMode="External" /><Relationship Type="http://schemas.openxmlformats.org/officeDocument/2006/relationships/hyperlink" Id="rId43" Target="https://x.com/paulg/status/2097299515086623152" TargetMode="External" /><Relationship Type="http://schemas.openxmlformats.org/officeDocument/2006/relationships/hyperlink" Id="rId37" Target="https://x.com/sama/status/2097385167002415140" TargetMode="External" /><Relationship Type="http://schemas.openxmlformats.org/officeDocument/2006/relationships/hyperlink" Id="rId34" Target="https://x.com/saranormous/status/2097353251578650935" TargetMode="External" /><Relationship Type="http://schemas.openxmlformats.org/officeDocument/2006/relationships/hyperlink" Id="rId31" Target="https://x.com/ycombinator/status/2097407336088469828" TargetMode="External" /><Relationship Type="http://schemas.openxmlformats.org/officeDocument/2006/relationships/hyperlink" Id="rId28" Target="https://youtube.com/watch?v=1JvyLGd2Sfs&amp;t=424" TargetMode="External" /></Relationships>
</file>

<file path=word/_rels/footnotes.xml.rels><?xml version="1.0" encoding="UTF-8"?><Relationships xmlns="http://schemas.openxmlformats.org/package/2006/relationships"><Relationship Type="http://schemas.openxmlformats.org/officeDocument/2006/relationships/hyperlink" Id="rId29" Target="https://newsletter.pragmaticengineer.com/p/what-is-happening-with-code-reviews" TargetMode="External" /><Relationship Type="http://schemas.openxmlformats.org/officeDocument/2006/relationships/hyperlink" Id="rId30" Target="https://www.interconnects.ai/p/latest-open-artifacts-24" TargetMode="External" /><Relationship Type="http://schemas.openxmlformats.org/officeDocument/2006/relationships/hyperlink" Id="rId41" Target="https://www.interconnects.ai/p/latest-open-artifacts-24-motif-3" TargetMode="External" /><Relationship Type="http://schemas.openxmlformats.org/officeDocument/2006/relationships/hyperlink" Id="rId32" Target="https://www.reddit.com/r/SaaS/comments/1wavdh6/" TargetMode="External" /><Relationship Type="http://schemas.openxmlformats.org/officeDocument/2006/relationships/hyperlink" Id="rId24" Target="https://www.youtube.com/watch?v=1JvyLGd2Sfs" TargetMode="External" /><Relationship Type="http://schemas.openxmlformats.org/officeDocument/2006/relationships/hyperlink" Id="rId36" Target="https://x.com/OpenAI/status/2097374640582668336" TargetMode="External" /><Relationship Type="http://schemas.openxmlformats.org/officeDocument/2006/relationships/hyperlink" Id="rId38" Target="https://x.com/OpenAI/status/2097375276384567642" TargetMode="External" /><Relationship Type="http://schemas.openxmlformats.org/officeDocument/2006/relationships/hyperlink" Id="rId33" Target="https://x.com/TechCrunch/status/2097148188712927635" TargetMode="External" /><Relationship Type="http://schemas.openxmlformats.org/officeDocument/2006/relationships/hyperlink" Id="rId40" Target="https://x.com/caspar_br/status/2097424144459874412" TargetMode="External" /><Relationship Type="http://schemas.openxmlformats.org/officeDocument/2006/relationships/hyperlink" Id="rId44" Target="https://x.com/davidneckstein/status/2097283783426703743" TargetMode="External" /><Relationship Type="http://schemas.openxmlformats.org/officeDocument/2006/relationships/hyperlink" Id="rId35" Target="https://x.com/desertantlabs/status/2097337888669139285" TargetMode="External" /><Relationship Type="http://schemas.openxmlformats.org/officeDocument/2006/relationships/hyperlink" Id="rId42" Target="https://x.com/i/article/2094514558396477440" TargetMode="External" /><Relationship Type="http://schemas.openxmlformats.org/officeDocument/2006/relationships/hyperlink" Id="rId39" Target="https://x.com/i/article/2097355601433247745" TargetMode="External" /><Relationship Type="http://schemas.openxmlformats.org/officeDocument/2006/relationships/hyperlink" Id="rId43" Target="https://x.com/paulg/status/2097299515086623152" TargetMode="External" /><Relationship Type="http://schemas.openxmlformats.org/officeDocument/2006/relationships/hyperlink" Id="rId37" Target="https://x.com/sama/status/2097385167002415140" TargetMode="External" /><Relationship Type="http://schemas.openxmlformats.org/officeDocument/2006/relationships/hyperlink" Id="rId34" Target="https://x.com/saranormous/status/2097353251578650935" TargetMode="External" /><Relationship Type="http://schemas.openxmlformats.org/officeDocument/2006/relationships/hyperlink" Id="rId31" Target="https://x.com/ycombinator/status/2097407336088469828" TargetMode="External" /><Relationship Type="http://schemas.openxmlformats.org/officeDocument/2006/relationships/hyperlink" Id="rId28" Target="https://youtube.com/watch?v=1JvyLGd2Sfs&amp;t=42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OpenAI’s Navier–Stokes Claim Puts Verification and Provenance at the Center of AI-for-Science</dc:title>
  <dc:creator>VC Tech Radar</dc:creator>
  <cp:keywords/>
  <dcterms:created xsi:type="dcterms:W3CDTF">2026-09-09T11:49:08Z</dcterms:created>
  <dcterms:modified xsi:type="dcterms:W3CDTF">2026-09-09T11:49:08Z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2026-09-09</vt:lpwstr>
  </property>
</Properties>
</file>