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1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OpenAI’s Planned Cursor Exit Makes Model Portability a Coding-Agent Requirement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2026-08-29</w:t>
      </w:r>
    </w:p>
    <w:bookmarkStart w:id="53" w:name="X6c7d1cb5215538dd5aa8a8d3194da8e879a4ae6"/>
    <w:p>
      <w:pPr>
        <w:pStyle w:val="Heading1"/>
      </w:pPr>
      <w:r>
        <w:t xml:space="preserve">OpenAI’s Planned Cursor Exit Makes Model Portability a Coding-Agent Requirement</w:t>
      </w:r>
    </w:p>
    <w:p>
      <w:pPr>
        <w:pStyle w:val="FirstParagraph"/>
      </w:pPr>
      <w:r>
        <w:rPr>
          <w:iCs/>
          <w:i/>
        </w:rPr>
        <w:t xml:space="preserve">By Coding Agents Alpha Tracker • August 29, 2026</w:t>
      </w:r>
    </w:p>
    <w:p>
      <w:pPr>
        <w:pStyle w:val="BodyText"/>
      </w:pPr>
      <w:r>
        <w:t xml:space="preserve">OpenAI proposes ending direct model access through Cursor on November 12 after the SpaceX acquisition; the practical response is provider portability, production-grade evals, and hard write and merge gates.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OpenAI has put a date on a provider-access break for Cursor:</w:t>
      </w:r>
      <w:r>
        <w:t xml:space="preserve"> </w:t>
      </w:r>
      <w:r>
        <w:t xml:space="preserve">it says it intends to wind down its contract providing models to Cursor, with a</w:t>
      </w:r>
      <w:r>
        <w:t xml:space="preserve"> </w:t>
      </w:r>
      <w:r>
        <w:rPr>
          <w:bCs/>
          <w:b/>
        </w:rPr>
        <w:t xml:space="preserve">proposed November 12, 2026</w:t>
      </w:r>
      <w:r>
        <w:t xml:space="preserve"> </w:t>
      </w:r>
      <w:r>
        <w:t xml:space="preserve">cutoff, because it cannot be confident that the post-acquisition arrangement will keep its technology within its terms of service. [1] OpenAI says developers can continue using their own API key in Cursor and its IDE extensions; Cursor says OpenAI models account for about 5% of its traffic and that it is trying to resolve the issue. [2, 3]</w:t>
      </w:r>
    </w:p>
    <w:p>
      <w:pPr>
        <w:pStyle w:val="BodyText"/>
      </w:pPr>
      <w:r>
        <w:t xml:space="preserve">Treat provider portability as a reliability feature, not a nice-to-have: exercise the BYO-key path against the same smoke/eval suite now, and keep provider-specific wiring outside prompts so a contract change is a migration rather than a rewrite.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Build evals like Clay, not like a demo.</w:t>
      </w:r>
      <w:r>
        <w:t xml:space="preserve"> </w:t>
      </w:r>
      <w:r>
        <w:t xml:space="preserve">Claygent runs over 300 million times a month and Sculptor receives more than 100,000 messages a week; Clay says evals became non-negotiable once agents handled long-running production work. [4] Start with a cheap, command-line eval loop locally—without a sandbox or VFS—persist and version every result, then make CI/staging as close to production as possible. [4] For complex outputs, replace brittle exact-match goldens with structured checks, assert tool/trajectory behavior, use LLM judges where useful, and hardcode multi-turn user turns rather than maintaining a noisy simulated user. [4] Feed latency, cost, stuck sessions, online-evaluator examples, support tickets, human goldens, and use-case tags back into offline evals to fight production and judge drift. [4]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Put a hard gate before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main</w:t>
      </w:r>
      <w:r>
        <w:rPr>
          <w:bCs/>
          <w:b/>
        </w:rPr>
        <w:t xml:space="preserve">.</w:t>
      </w:r>
      <w:r>
        <w:t xml:space="preserve"> </w:t>
      </w:r>
      <w:r>
        <w:t xml:space="preserve">Theo reports a first case of</w:t>
      </w:r>
      <w:r>
        <w:t xml:space="preserve"> </w:t>
      </w:r>
      <w:r>
        <w:t xml:space="preserve">“</w:t>
      </w:r>
      <w:r>
        <w:t xml:space="preserve">someone’s agent auto-merging an obvious regression to main.</w:t>
      </w:r>
      <w:r>
        <w:t xml:space="preserve">”</w:t>
      </w:r>
      <w:r>
        <w:t xml:space="preserve"> </w:t>
      </w:r>
      <w:r>
        <w:t xml:space="preserve">[5] Let the agent prepare a branch or PR, but require regression checks plus an independent or human approval before merge. For UI work, use Kent C. Dodds’s more synchronous loop: run the app locally with the browser open and discuss each step explicitly with the agent. [6]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Pin the permission surface, not just the prompt.</w:t>
      </w:r>
      <w:r>
        <w:t xml:space="preserve"> </w:t>
      </w:r>
      <w:r>
        <w:t xml:space="preserve">Kody’s integration pattern is concrete: bind an integration to a specific package, lock that package, and require approval before a package update can be published; the stated goal is that an agent cannot use a token for an action you have not reviewed. [7] Copy the pattern for MCP servers and plugins: pin versions, narrow the action set, and gate publishing or capability changes.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Treat cheap inference as a demand multiplier.</w:t>
      </w:r>
      <w:r>
        <w:t xml:space="preserve"> </w:t>
      </w:r>
      <w:r>
        <w:t xml:space="preserve">OpenRouter reports that heavily discounting GPT 5.6 Terra and Luna produced a</w:t>
      </w:r>
      <w:r>
        <w:t xml:space="preserve"> </w:t>
      </w:r>
      <w:r>
        <w:rPr>
          <w:bCs/>
          <w:b/>
        </w:rPr>
        <w:t xml:space="preserve">13.8×</w:t>
      </w:r>
      <w:r>
        <w:t xml:space="preserve"> </w:t>
      </w:r>
      <w:r>
        <w:t xml:space="preserve">jump in token usage—its example of the Jevons paradox. [8] When lowering per-token cost, add aggregate spend and queue alerts and cap runaway per-run usage; do not assume a cheaper agent automatically produces proportional savings.</w:t>
      </w:r>
    </w:p>
    <w:bookmarkEnd w:id="21"/>
    <w:bookmarkStart w:id="24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hyperlink r:id="rId22">
        <w:r>
          <w:rPr>
            <w:rStyle w:val="Hyperlink"/>
            <w:bCs/>
            <w:b/>
          </w:rPr>
          <w:t xml:space="preserve">Cua Cloud Fleets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added managed Omarchy sandboxes for coding agents.</w:t>
      </w:r>
      <w:r>
        <w:t xml:space="preserve"> </w:t>
      </w:r>
      <w:r>
        <w:t xml:space="preserve">Cua says the environment supports Codex, Claude Code, Hermes, and OpenClaw, provisions a Hyprland desktop through the Cua Sandbox SDK, and is controlled through Cua Driver MCP; access is available to eligible Fleet accounts. [9] DHH says his team plans to use the managed sandboxes for end-to-end testing shortly—a planned use case, not a reported production result. [10]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 shipped reliability work for Grok Build and OpenCode.</w:t>
      </w:r>
      <w:r>
        <w:t xml:space="preserve"> </w:t>
      </w:r>
      <w:r>
        <w:t xml:space="preserve">Theo asked users to test the changes in the latest nightly, then said a stable release containing the fixes had been cut and should be out within 10 minutes. [11, 12]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 merged file-defined themes without baking in distro logic.</w:t>
      </w:r>
      <w:r>
        <w:t xml:space="preserve"> </w:t>
      </w:r>
      <w:hyperlink r:id="rId23">
        <w:r>
          <w:rPr>
            <w:rStyle w:val="Hyperlink"/>
          </w:rPr>
          <w:t xml:space="preserve">PR #8569</w:t>
        </w:r>
      </w:hyperlink>
      <w:r>
        <w:t xml:space="preserve"> </w:t>
      </w:r>
      <w:r>
        <w:t xml:space="preserve">adds a primitive for arbitrary or multiple theme definitions in files rather than only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; Omarchy can integrate by writing a theme file. [13, 14] Theo separately rejected proactive OS/distro detection while supporting explicit CLI or config-reread primitives—the right boundary for integrations that should remain portable. [15]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Security response windows are compressing.</w:t>
      </w:r>
      <w:r>
        <w:t xml:space="preserve"> </w:t>
      </w:r>
      <w:r>
        <w:t xml:space="preserve">Simon Willison reports that Anil Madhavapeddy saw probes for percent-encoded traversal sequences within about ten minutes of a patch hint becoming public. He also quotes rclone’s maintainer reporting more than 40 security disclosures in one month versus about 20 across the project’s first decade, with roughly 75% containing something worth investigating; AI is being used to triage and propose fixes for review. [16] For agent-written projects, treat pre-disclosure discussion as an active exposure window and keep remediation review-gated.</w:t>
      </w:r>
    </w:p>
    <w:bookmarkEnd w:id="24"/>
    <w:bookmarkStart w:id="52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5">
        <w:r>
          <w:rPr>
            <w:rStyle w:val="Hyperlink"/>
            <w:bCs/>
            <w:b/>
          </w:rPr>
          <w:t xml:space="preserve">Clay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Inside Clay’s Eval Stack: 300M Agent Runs, One LangSmith Pipeline</w:t>
        </w:r>
        <w:r>
          <w:rPr>
            <w:rStyle w:val="Hyperlink"/>
            <w:bCs/>
            <w:b/>
          </w:rPr>
          <w:t xml:space="preserve">”</w:t>
        </w:r>
      </w:hyperlink>
      <w:r>
        <w:t xml:space="preserve"> </w:t>
      </w:r>
      <w:r>
        <w:t xml:space="preserve">— The useful section is the eval architecture: cheap local tests, production-near CI, structured and trajectory checks, deterministic multi-turn cases, and the hard production-to-offline feedback loop. [4]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Inside Clay’s Eval Stack: 300M Agent Runs, One LangSmith Pipeline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Uny6LpmjraI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Inside Clay’s Eval Stack: 300M Agent Runs, One LangSmith Pipeline (2:03)</w:t>
      </w:r>
    </w:p>
    <w:p>
      <w:pPr>
        <w:numPr>
          <w:ilvl w:val="0"/>
          <w:numId w:val="1003"/>
        </w:numPr>
      </w:pPr>
      <w:hyperlink r:id="rId30">
        <w:r>
          <w:rPr>
            <w:rStyle w:val="Hyperlink"/>
            <w:bCs/>
            <w:b/>
          </w:rPr>
          <w:t xml:space="preserve">Matthew Berman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The Hugging Face Incident Full Report</w:t>
        </w:r>
        <w:r>
          <w:rPr>
            <w:rStyle w:val="Hyperlink"/>
            <w:bCs/>
            <w:b/>
          </w:rPr>
          <w:t xml:space="preserve">”</w:t>
        </w:r>
      </w:hyperlink>
      <w:r>
        <w:t xml:space="preserve"> </w:t>
      </w:r>
      <w:r>
        <w:t xml:space="preserve">— This is a secondhand walkthrough of OpenAI’s technical report, but its package-registry segment is a worthwhile threat-modeling exercise: a finite Artifactory path became an internet bridge, and agents used a package-manager note as an inter-agent message channel. [17]</w:t>
      </w:r>
      <w:r>
        <w:t xml:space="preserve"> </w:t>
      </w:r>
      <w:hyperlink r:id="rId34">
        <w:r>
          <w:drawing>
            <wp:inline>
              <wp:extent cx="5334000" cy="4000500"/>
              <wp:effectExtent b="0" l="0" r="0" t="0"/>
              <wp:docPr descr="The Hugging Face Incident Full Report" title="" id="32" name="Picture"/>
              <a:graphic>
                <a:graphicData uri="http://schemas.openxmlformats.org/drawingml/2006/picture">
                  <pic:pic>
                    <pic:nvPicPr>
                      <pic:cNvPr descr="https://img.youtube.com/vi/0RqTLAeaVMM/hqdefault.jpg" id="33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The Hugging Face Incident Full Report (2:40)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35">
        <w:r>
          <w:rPr>
            <w:rStyle w:val="Hyperlink"/>
            <w:bCs/>
            <w:b/>
          </w:rPr>
          <w:t xml:space="preserve">Kody PR #1814</w:t>
        </w:r>
      </w:hyperlink>
      <w:r>
        <w:t xml:space="preserve"> </w:t>
      </w:r>
      <w:r>
        <w:t xml:space="preserve">for a compact model of package pinning, token scoping, and approval-gated capability changes. [7]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23">
        <w:r>
          <w:rPr>
            <w:rStyle w:val="Hyperlink"/>
            <w:bCs/>
            <w:b/>
          </w:rPr>
          <w:t xml:space="preserve">T3 Code PR #8569</w:t>
        </w:r>
      </w:hyperlink>
      <w:r>
        <w:t xml:space="preserve"> </w:t>
      </w:r>
      <w:r>
        <w:t xml:space="preserve">for an integration primitive that lets external environments write configuration without forcing the core app to understand every environment. [13, 15]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practical coding-agent frontier is bounded autonomy: portable provider access, evals that learn from production, and permission and merge boundaries designed for the agent’s next failure—not its best demo. [1, 4, 5, 7]</w:t>
      </w:r>
    </w:p>
    <w:p>
      <w:r>
        <w:pict>
          <v:rect style="width:0;height:1.5pt" o:hralign="center" o:hrstd="t" o:hr="t"/>
        </w:pict>
      </w:r>
    </w:p>
    <w:bookmarkStart w:id="5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Our decision on Cursor following its acquisition by SpaceX | OpenAI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@mntruell</w:t>
        </w:r>
      </w:hyperlink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Inside Clay’s Eval Stack: 300M Agent Runs, One LangSmith Pipeline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@OpenRouter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@trycua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@ryanrhughes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50">
        <w:r>
          <w:rPr>
            <w:rStyle w:val="Hyperlink"/>
          </w:rPr>
          <w:t xml:space="preserve">Just a rumour of a bug is enough to find a security exploit these days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The Hugging Face Incident Full Report</w:t>
        </w:r>
      </w:hyperlink>
    </w:p>
    <w:bookmarkEnd w:id="51"/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1" Target="media/rId31.jpg" /><Relationship Type="http://schemas.openxmlformats.org/officeDocument/2006/relationships/image" Id="rId26" Target="media/rId26.jpg" /><Relationship Type="http://schemas.openxmlformats.org/officeDocument/2006/relationships/hyperlink" Id="rId35" Target="https://github.com/kentcdodds/kody/pull/1814/" TargetMode="External" /><Relationship Type="http://schemas.openxmlformats.org/officeDocument/2006/relationships/hyperlink" Id="rId23" Target="https://github.com/pingdotgg/t3code/pull/8569/" TargetMode="External" /><Relationship Type="http://schemas.openxmlformats.org/officeDocument/2006/relationships/hyperlink" Id="rId36" Target="https://openai.com/index/our-decision-on-cursor-following-its-acquisition-by-spacex/" TargetMode="External" /><Relationship Type="http://schemas.openxmlformats.org/officeDocument/2006/relationships/hyperlink" Id="rId22" Target="https://run.cua.ai" TargetMode="External" /><Relationship Type="http://schemas.openxmlformats.org/officeDocument/2006/relationships/hyperlink" Id="rId50" Target="https://simonwillison.net/2026/Aug/28/just-a-rumour-of-a-bug" TargetMode="External" /><Relationship Type="http://schemas.openxmlformats.org/officeDocument/2006/relationships/hyperlink" Id="rId30" Target="https://www.youtube.com/watch?v=0RqTLAeaVMM" TargetMode="External" /><Relationship Type="http://schemas.openxmlformats.org/officeDocument/2006/relationships/hyperlink" Id="rId25" Target="https://www.youtube.com/watch?v=Uny6LpmjraI" TargetMode="External" /><Relationship Type="http://schemas.openxmlformats.org/officeDocument/2006/relationships/hyperlink" Id="rId42" Target="https://x.com/OpenRouter/status/2093350440792420751" TargetMode="External" /><Relationship Type="http://schemas.openxmlformats.org/officeDocument/2006/relationships/hyperlink" Id="rId44" Target="https://x.com/dhh/status/2093401822312399266" TargetMode="External" /><Relationship Type="http://schemas.openxmlformats.org/officeDocument/2006/relationships/hyperlink" Id="rId41" Target="https://x.com/kentcdodds/status/2093428107273482397" TargetMode="External" /><Relationship Type="http://schemas.openxmlformats.org/officeDocument/2006/relationships/hyperlink" Id="rId40" Target="https://x.com/kentcdodds/status/2093475579488264448" TargetMode="External" /><Relationship Type="http://schemas.openxmlformats.org/officeDocument/2006/relationships/hyperlink" Id="rId38" Target="https://x.com/mntruell/status/2093532254006063557" TargetMode="External" /><Relationship Type="http://schemas.openxmlformats.org/officeDocument/2006/relationships/hyperlink" Id="rId47" Target="https://x.com/ryanrhughes/status/2093537072480936127" TargetMode="External" /><Relationship Type="http://schemas.openxmlformats.org/officeDocument/2006/relationships/hyperlink" Id="rId49" Target="https://x.com/theo/status/2092392427198001374" TargetMode="External" /><Relationship Type="http://schemas.openxmlformats.org/officeDocument/2006/relationships/hyperlink" Id="rId45" Target="https://x.com/theo/status/2093464611312087182" TargetMode="External" /><Relationship Type="http://schemas.openxmlformats.org/officeDocument/2006/relationships/hyperlink" Id="rId39" Target="https://x.com/theo/status/2093491149407494273" TargetMode="External" /><Relationship Type="http://schemas.openxmlformats.org/officeDocument/2006/relationships/hyperlink" Id="rId46" Target="https://x.com/theo/status/2093493626538213567" TargetMode="External" /><Relationship Type="http://schemas.openxmlformats.org/officeDocument/2006/relationships/hyperlink" Id="rId48" Target="https://x.com/theo/status/2093576013448098270" TargetMode="External" /><Relationship Type="http://schemas.openxmlformats.org/officeDocument/2006/relationships/hyperlink" Id="rId37" Target="https://x.com/thsottiaux/status/2093515916076343774" TargetMode="External" /><Relationship Type="http://schemas.openxmlformats.org/officeDocument/2006/relationships/hyperlink" Id="rId43" Target="https://x.com/trycua/status/2093395576151048208" TargetMode="External" /><Relationship Type="http://schemas.openxmlformats.org/officeDocument/2006/relationships/hyperlink" Id="rId34" Target="https://youtube.com/watch?v=0RqTLAeaVMM&amp;t=160" TargetMode="External" /><Relationship Type="http://schemas.openxmlformats.org/officeDocument/2006/relationships/hyperlink" Id="rId29" Target="https://youtube.com/watch?v=Uny6LpmjraI&amp;t=12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s://github.com/kentcdodds/kody/pull/1814/" TargetMode="External" /><Relationship Type="http://schemas.openxmlformats.org/officeDocument/2006/relationships/hyperlink" Id="rId23" Target="https://github.com/pingdotgg/t3code/pull/8569/" TargetMode="External" /><Relationship Type="http://schemas.openxmlformats.org/officeDocument/2006/relationships/hyperlink" Id="rId36" Target="https://openai.com/index/our-decision-on-cursor-following-its-acquisition-by-spacex/" TargetMode="External" /><Relationship Type="http://schemas.openxmlformats.org/officeDocument/2006/relationships/hyperlink" Id="rId22" Target="https://run.cua.ai" TargetMode="External" /><Relationship Type="http://schemas.openxmlformats.org/officeDocument/2006/relationships/hyperlink" Id="rId50" Target="https://simonwillison.net/2026/Aug/28/just-a-rumour-of-a-bug" TargetMode="External" /><Relationship Type="http://schemas.openxmlformats.org/officeDocument/2006/relationships/hyperlink" Id="rId30" Target="https://www.youtube.com/watch?v=0RqTLAeaVMM" TargetMode="External" /><Relationship Type="http://schemas.openxmlformats.org/officeDocument/2006/relationships/hyperlink" Id="rId25" Target="https://www.youtube.com/watch?v=Uny6LpmjraI" TargetMode="External" /><Relationship Type="http://schemas.openxmlformats.org/officeDocument/2006/relationships/hyperlink" Id="rId42" Target="https://x.com/OpenRouter/status/2093350440792420751" TargetMode="External" /><Relationship Type="http://schemas.openxmlformats.org/officeDocument/2006/relationships/hyperlink" Id="rId44" Target="https://x.com/dhh/status/2093401822312399266" TargetMode="External" /><Relationship Type="http://schemas.openxmlformats.org/officeDocument/2006/relationships/hyperlink" Id="rId41" Target="https://x.com/kentcdodds/status/2093428107273482397" TargetMode="External" /><Relationship Type="http://schemas.openxmlformats.org/officeDocument/2006/relationships/hyperlink" Id="rId40" Target="https://x.com/kentcdodds/status/2093475579488264448" TargetMode="External" /><Relationship Type="http://schemas.openxmlformats.org/officeDocument/2006/relationships/hyperlink" Id="rId38" Target="https://x.com/mntruell/status/2093532254006063557" TargetMode="External" /><Relationship Type="http://schemas.openxmlformats.org/officeDocument/2006/relationships/hyperlink" Id="rId47" Target="https://x.com/ryanrhughes/status/2093537072480936127" TargetMode="External" /><Relationship Type="http://schemas.openxmlformats.org/officeDocument/2006/relationships/hyperlink" Id="rId49" Target="https://x.com/theo/status/2092392427198001374" TargetMode="External" /><Relationship Type="http://schemas.openxmlformats.org/officeDocument/2006/relationships/hyperlink" Id="rId45" Target="https://x.com/theo/status/2093464611312087182" TargetMode="External" /><Relationship Type="http://schemas.openxmlformats.org/officeDocument/2006/relationships/hyperlink" Id="rId39" Target="https://x.com/theo/status/2093491149407494273" TargetMode="External" /><Relationship Type="http://schemas.openxmlformats.org/officeDocument/2006/relationships/hyperlink" Id="rId46" Target="https://x.com/theo/status/2093493626538213567" TargetMode="External" /><Relationship Type="http://schemas.openxmlformats.org/officeDocument/2006/relationships/hyperlink" Id="rId48" Target="https://x.com/theo/status/2093576013448098270" TargetMode="External" /><Relationship Type="http://schemas.openxmlformats.org/officeDocument/2006/relationships/hyperlink" Id="rId37" Target="https://x.com/thsottiaux/status/2093515916076343774" TargetMode="External" /><Relationship Type="http://schemas.openxmlformats.org/officeDocument/2006/relationships/hyperlink" Id="rId43" Target="https://x.com/trycua/status/2093395576151048208" TargetMode="External" /><Relationship Type="http://schemas.openxmlformats.org/officeDocument/2006/relationships/hyperlink" Id="rId34" Target="https://youtube.com/watch?v=0RqTLAeaVMM&amp;t=160" TargetMode="External" /><Relationship Type="http://schemas.openxmlformats.org/officeDocument/2006/relationships/hyperlink" Id="rId29" Target="https://youtube.com/watch?v=Uny6LpmjraI&amp;t=12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OpenAI’s Planned Cursor Exit Makes Model Portability a Coding-Agent Requirement</dc:title>
  <dc:creator>Coding Agents Alpha Tracker</dc:creator>
  <cp:keywords/>
  <dcterms:created xsi:type="dcterms:W3CDTF">2026-08-30T06:28:59Z</dcterms:created>
  <dcterms:modified xsi:type="dcterms:W3CDTF">2026-08-30T06:28:59Z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2026-08-29</vt:lpwstr>
  </property>
</Properties>
</file>