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OpenClaw 2.0 and Work Cloud Push Coding Agents Beyond the Local Harness</w:t>
      </w:r>
    </w:p>
    <w:p>
      <w:pPr>
        <w:pStyle w:val="Author"/>
      </w:pPr>
      <w:r>
        <w:t xml:space="preserve">Coding Agents Alpha Tracker</w:t>
      </w:r>
    </w:p>
    <w:p>
      <w:pPr>
        <w:pStyle w:val="Date"/>
      </w:pPr>
      <w:r>
        <w:t xml:space="preserve">2026-08-31</w:t>
      </w:r>
    </w:p>
    <w:bookmarkStart w:id="46" w:name="X70df8e6899261822209a47022eeb2714a882663"/>
    <w:p>
      <w:pPr>
        <w:pStyle w:val="Heading1"/>
      </w:pPr>
      <w:r>
        <w:t xml:space="preserve">OpenClaw 2.0 and Work Cloud Push Coding Agents Beyond the Local Harness</w:t>
      </w:r>
    </w:p>
    <w:p>
      <w:pPr>
        <w:pStyle w:val="FirstParagraph"/>
      </w:pPr>
      <w:r>
        <w:rPr>
          <w:iCs/>
          <w:i/>
        </w:rPr>
        <w:t xml:space="preserve">By Coding Agents Alpha Tracker • August 31, 2026</w:t>
      </w:r>
    </w:p>
    <w:p>
      <w:pPr>
        <w:pStyle w:val="BodyText"/>
      </w:pPr>
      <w:r>
        <w:t xml:space="preserve">A practitioner-first brief on the shift from local coding harnesses to persistent, shared agent runtimes—covering Work Cloud workflows, OpenClaw 2.0, performance work, quota constraints, and the safety boundaries that make autonomy usable.</w:t>
      </w:r>
    </w:p>
    <w:bookmarkStart w:id="20" w:name="top-signal"/>
    <w:p>
      <w:pPr>
        <w:pStyle w:val="Heading2"/>
      </w:pPr>
      <w:r>
        <w:t xml:space="preserve">🔥 TOP SIGNAL</w:t>
      </w:r>
    </w:p>
    <w:p>
      <w:pPr>
        <w:pStyle w:val="FirstParagraph"/>
      </w:pPr>
      <w:r>
        <w:rPr>
          <w:bCs/>
          <w:b/>
        </w:rPr>
        <w:t xml:space="preserve">The local harness is no longer the whole coding-agent unit.</w:t>
      </w:r>
      <w:r>
        <w:t xml:space="preserve"> </w:t>
      </w:r>
      <w:r>
        <w:t xml:space="preserve">OpenClaw 2.0’s release post describes shared cloud sessions that let another team member join live work or take it over with the Claw’s context intact; Peter Steinberger says his team moved from local coding harnesses to</w:t>
      </w:r>
      <w:r>
        <w:t xml:space="preserve"> </w:t>
      </w:r>
      <w:r>
        <w:rPr>
          <w:rStyle w:val="VerbatimChar"/>
        </w:rPr>
        <w:t xml:space="preserve">team.openclaw.ai</w:t>
      </w:r>
      <w:r>
        <w:t xml:space="preserve">, where multiplayer coding with nodes and cloud sessions changed how they build. [1, 2]</w:t>
      </w:r>
    </w:p>
    <w:p>
      <w:pPr>
        <w:pStyle w:val="BodyText"/>
      </w:pPr>
      <w:r>
        <w:t xml:space="preserve">Simon Willison’s Work Cloud report shows the same move from a different product: persistent scratch/workspace state, parallel sub-agents, browser and internet execution, and scheduled prompts—currently limited to $20/month-and-up subscribers. He also flags the combination of private data, untrusted content, and a channel to communicate stolen data as a</w:t>
      </w:r>
      <w:r>
        <w:t xml:space="preserve"> </w:t>
      </w:r>
      <w:r>
        <w:t xml:space="preserve">“</w:t>
      </w:r>
      <w:r>
        <w:t xml:space="preserve">lethal trifecta</w:t>
      </w:r>
      <w:r>
        <w:t xml:space="preserve">”</w:t>
      </w:r>
      <w:r>
        <w:t xml:space="preserve">; his baseline for unattended runs is a sandbox, restricted egress, monitoring, and no home directories, SSH keys, or cloud credentials. [3]</w:t>
      </w:r>
    </w:p>
    <w:bookmarkEnd w:id="20"/>
    <w:bookmarkStart w:id="21" w:name="try-this"/>
    <w:p>
      <w:pPr>
        <w:pStyle w:val="Heading2"/>
      </w:pPr>
      <w:r>
        <w:t xml:space="preserve">⚡ TRY THIS</w:t>
      </w:r>
    </w:p>
    <w:p>
      <w:pPr>
        <w:numPr>
          <w:ilvl w:val="0"/>
          <w:numId w:val="1001"/>
        </w:numPr>
      </w:pPr>
      <w:r>
        <w:rPr>
          <w:bCs/>
          <w:b/>
        </w:rPr>
        <w:t xml:space="preserve">Turn browser tasks into reproducible DOM extraction.</w:t>
      </w:r>
      <w:r>
        <w:t xml:space="preserve"> </w:t>
      </w:r>
      <w:r>
        <w:t xml:space="preserve">In Work Cloud, run:</w:t>
      </w:r>
      <w:r>
        <w:t xml:space="preserve"> </w:t>
      </w:r>
      <w:r>
        <w:rPr>
          <w:rStyle w:val="VerbatimChar"/>
        </w:rPr>
        <w:t xml:space="preserve">Load simonwillison.net in your browser and extract the headings using JavaScript</w:t>
      </w:r>
      <w:r>
        <w:t xml:space="preserve">. If authentication is needed, take over for the password and 2FA; Work can then execute JavaScript through Playwright and return each heading’s level, text, and ID. [3]</w:t>
      </w:r>
    </w:p>
    <w:p>
      <w:pPr>
        <w:numPr>
          <w:ilvl w:val="0"/>
          <w:numId w:val="1001"/>
        </w:numPr>
      </w:pPr>
      <w:r>
        <w:rPr>
          <w:bCs/>
          <w:b/>
        </w:rPr>
        <w:t xml:space="preserve">Use upstream docs as the migration spec and tests as the gate.</w:t>
      </w:r>
      <w:r>
        <w:t xml:space="preserve"> </w:t>
      </w:r>
      <w:r>
        <w:t xml:space="preserve">Simon Willison’s exact Claude Code prompt was:</w:t>
      </w:r>
      <w:r>
        <w:t xml:space="preserve"> </w:t>
      </w:r>
      <w:r>
        <w:rPr>
          <w:rStyle w:val="VerbatimChar"/>
        </w:rPr>
        <w:t xml:space="preserve">Upgrade to anthropic&gt;=1 - read https://raw.githubusercontent.com/anthropics/anthropic-sdk-python/refs/heads/main/MIGRATION.md and get the tests passing</w:t>
      </w:r>
      <w:r>
        <w:t xml:space="preserve">. The run produced PR #84 for</w:t>
      </w:r>
      <w:r>
        <w:t xml:space="preserve"> </w:t>
      </w:r>
      <w:r>
        <w:rPr>
          <w:rStyle w:val="VerbatimChar"/>
        </w:rPr>
        <w:t xml:space="preserve">llm-anthropic</w:t>
      </w:r>
      <w:r>
        <w:t xml:space="preserve">; copy the pattern for SDK upgrades: give the agent the authoritative migration document, require a passing test suite, then review the PR. [3]</w:t>
      </w:r>
    </w:p>
    <w:p>
      <w:pPr>
        <w:numPr>
          <w:ilvl w:val="0"/>
          <w:numId w:val="1001"/>
        </w:numPr>
      </w:pPr>
      <w:r>
        <w:rPr>
          <w:bCs/>
          <w:b/>
        </w:rPr>
        <w:t xml:space="preserve">Separate event triggers from approvals.</w:t>
      </w:r>
      <w:r>
        <w:t xml:space="preserve"> </w:t>
      </w:r>
      <w:r>
        <w:t xml:space="preserve">Riley Brown gave an agent an AgentMail inbox, then configured a</w:t>
      </w:r>
      <w:r>
        <w:t xml:space="preserve"> </w:t>
      </w:r>
      <w:r>
        <w:rPr>
          <w:rStyle w:val="VerbatimChar"/>
        </w:rPr>
        <w:t xml:space="preserve">grokbot</w:t>
      </w:r>
      <w:r>
        <w:t xml:space="preserve"> </w:t>
      </w:r>
      <w:r>
        <w:t xml:space="preserve">routine of type</w:t>
      </w:r>
      <w:r>
        <w:t xml:space="preserve"> </w:t>
      </w:r>
      <w:r>
        <w:rPr>
          <w:rStyle w:val="VerbatimChar"/>
        </w:rPr>
        <w:t xml:space="preserve">webhook</w:t>
      </w:r>
      <w:r>
        <w:t xml:space="preserve"> </w:t>
      </w:r>
      <w:r>
        <w:t xml:space="preserve">so each email received by the agent or user triggers the bot. For a purchase, the Link integration sent a phone notification and Brown explicitly approved the $22.50 charge in the Link app. Reuse the email → webhook → routine pattern, but keep money-moving actions behind a human approval step. [4]</w:t>
      </w:r>
    </w:p>
    <w:p>
      <w:pPr>
        <w:numPr>
          <w:ilvl w:val="0"/>
          <w:numId w:val="1001"/>
        </w:numPr>
      </w:pPr>
      <w:r>
        <w:rPr>
          <w:bCs/>
          <w:b/>
        </w:rPr>
        <w:t xml:space="preserve">Reset agent instructions after model changes.</w:t>
      </w:r>
      <w:r>
        <w:t xml:space="preserve"> </w:t>
      </w:r>
      <w:r>
        <w:t xml:space="preserve">Geoffrey Huntley recommends deleting</w:t>
      </w:r>
      <w:r>
        <w:t xml:space="preserve"> </w:t>
      </w:r>
      <w:r>
        <w:rPr>
          <w:rStyle w:val="VerbatimChar"/>
        </w:rPr>
        <w:t xml:space="preserve">agents.md</w:t>
      </w:r>
      <w:r>
        <w:t xml:space="preserve"> </w:t>
      </w:r>
      <w:r>
        <w:t xml:space="preserve">and skills periodically—especially between model releases—retaining useful learnings, revalidating them every couple of months, and resisting premature standardization. [5]</w:t>
      </w:r>
    </w:p>
    <w:bookmarkEnd w:id="21"/>
    <w:bookmarkStart w:id="24" w:name="what-shipped"/>
    <w:p>
      <w:pPr>
        <w:pStyle w:val="Heading2"/>
      </w:pPr>
      <w:r>
        <w:t xml:space="preserve">📡 WHAT SHIPPED</w:t>
      </w:r>
    </w:p>
    <w:p>
      <w:pPr>
        <w:numPr>
          <w:ilvl w:val="0"/>
          <w:numId w:val="1002"/>
        </w:numPr>
      </w:pPr>
      <w:r>
        <w:rPr>
          <w:bCs/>
          <w:b/>
        </w:rPr>
        <w:t xml:space="preserve">OpenClaw 2.0</w:t>
      </w:r>
      <w:r>
        <w:t xml:space="preserve"> </w:t>
      </w:r>
      <w:r>
        <w:t xml:space="preserve">is a broad platform release: its post credits 933 contributors, including 569 first-time contributors, and more than 16,000 pull requests across installation, messaging, memory, skills, models, automations, browser/native apps, plugins, security, and fixes. New installs can start from existing ChatGPT or Claude subscriptions, API keys, or local models; shared cloud sessions add live collaboration and context-preserving handoff. [1]</w:t>
      </w:r>
    </w:p>
    <w:p>
      <w:pPr>
        <w:numPr>
          <w:ilvl w:val="0"/>
          <w:numId w:val="1002"/>
        </w:numPr>
      </w:pPr>
      <w:r>
        <w:rPr>
          <w:bCs/>
          <w:b/>
        </w:rPr>
        <w:t xml:space="preserve">Long-context performance is becoming a first-class product metric.</w:t>
      </w:r>
      <w:r>
        <w:t xml:space="preserve"> </w:t>
      </w:r>
      <w:r>
        <w:t xml:space="preserve">Theo says T3 Code reduced worst-case long-thread data from hundreds of megabytes to just under 40 KB; Brent Traut reports that ChatGPT desktop long threads now load over 90% faster with over 90% lower memory usage. Theo’s separate measurement across most of his Codex and Claude Code threads found that only roughly 1% of response time was spent streaming text, challenging token-by-token output as a useful liveness signal. [6, 7, 8]</w:t>
      </w:r>
    </w:p>
    <w:p>
      <w:pPr>
        <w:numPr>
          <w:ilvl w:val="0"/>
          <w:numId w:val="1002"/>
        </w:numPr>
      </w:pPr>
      <w:r>
        <w:rPr>
          <w:rStyle w:val="VerbatimChar"/>
          <w:bCs/>
          <w:b/>
        </w:rPr>
        <w:t xml:space="preserve">llm-anthropic 0.27</w:t>
      </w:r>
      <w:r>
        <w:t xml:space="preserve"> </w:t>
      </w:r>
      <w:r>
        <w:t xml:space="preserve">adds compatibility with Anthropic’s</w:t>
      </w:r>
      <w:r>
        <w:t xml:space="preserve"> </w:t>
      </w:r>
      <w:r>
        <w:rPr>
          <w:rStyle w:val="VerbatimChar"/>
        </w:rPr>
        <w:t xml:space="preserve">anthropic</w:t>
      </w:r>
      <w:r>
        <w:t xml:space="preserve"> </w:t>
      </w:r>
      <w:r>
        <w:t xml:space="preserve">v1.0.0 Python library, whose migration switched from</w:t>
      </w:r>
      <w:r>
        <w:t xml:space="preserve"> </w:t>
      </w:r>
      <w:r>
        <w:rPr>
          <w:rStyle w:val="VerbatimChar"/>
        </w:rPr>
        <w:t xml:space="preserve">httpx</w:t>
      </w:r>
      <w:r>
        <w:t xml:space="preserve"> </w:t>
      </w:r>
      <w:r>
        <w:t xml:space="preserve">to</w:t>
      </w:r>
      <w:r>
        <w:t xml:space="preserve"> </w:t>
      </w:r>
      <w:r>
        <w:rPr>
          <w:rStyle w:val="VerbatimChar"/>
        </w:rPr>
        <w:t xml:space="preserve">httpx2</w:t>
      </w:r>
      <w:r>
        <w:t xml:space="preserve">. The release’s real-world validation is Willison’s Fable 5 run against the upstream migration guide, which produced</w:t>
      </w:r>
      <w:r>
        <w:t xml:space="preserve"> </w:t>
      </w:r>
      <w:hyperlink r:id="rId22">
        <w:r>
          <w:rPr>
            <w:rStyle w:val="Hyperlink"/>
          </w:rPr>
          <w:t xml:space="preserve">PR #84</w:t>
        </w:r>
      </w:hyperlink>
      <w:r>
        <w:t xml:space="preserve">. [3]</w:t>
      </w:r>
    </w:p>
    <w:p>
      <w:pPr>
        <w:numPr>
          <w:ilvl w:val="0"/>
          <w:numId w:val="1002"/>
        </w:numPr>
      </w:pPr>
      <w:r>
        <w:rPr>
          <w:bCs/>
          <w:b/>
        </w:rPr>
        <w:t xml:space="preserve">Quota semantics are diverging by product and model.</w:t>
      </w:r>
      <w:r>
        <w:t xml:space="preserve"> </w:t>
      </w:r>
      <w:r>
        <w:t xml:space="preserve">Tibo says paid ChatGPT Work and Codex usage was reset after the service reached a claimed 25 million active users, and clarifies that Codex</w:t>
      </w:r>
      <w:r>
        <w:t xml:space="preserve"> </w:t>
      </w:r>
      <w:r>
        <w:t xml:space="preserve">“</w:t>
      </w:r>
      <w:r>
        <w:t xml:space="preserve">20X</w:t>
      </w:r>
      <w:r>
        <w:t xml:space="preserve">”</w:t>
      </w:r>
      <w:r>
        <w:t xml:space="preserve"> </w:t>
      </w:r>
      <w:r>
        <w:t xml:space="preserve">labels refer to weekly limits rather than five-hour limits; he says both Pro plans currently lack five-hour limits. Theo’s report adds a model-specific Fable 5 ceiling: in his hypothetical $1,000 weekly allowance, hitting $500 of Fable forces a switch to Opus or Sonnet even while weekly capacity remains, and he says he has exhausted five Claude accounts during heavy coding weeks. [9, 10, 11]</w:t>
      </w:r>
    </w:p>
    <w:p>
      <w:pPr>
        <w:numPr>
          <w:ilvl w:val="0"/>
          <w:numId w:val="1002"/>
        </w:numPr>
      </w:pPr>
      <w:r>
        <w:rPr>
          <w:bCs/>
          <w:b/>
        </w:rPr>
        <w:t xml:space="preserve">Omarchy v4.0.2</w:t>
      </w:r>
      <w:r>
        <w:t xml:space="preserve"> </w:t>
      </w:r>
      <w:r>
        <w:t xml:space="preserve">shipped another batch of security patches and minor fixes, with Ryan Hughes crediting responsible disclosures and saying the new security team aims to push findings and fixes upstream beyond Omarchy.</w:t>
      </w:r>
      <w:r>
        <w:t xml:space="preserve"> </w:t>
      </w:r>
      <w:hyperlink r:id="rId23">
        <w:r>
          <w:rPr>
            <w:rStyle w:val="Hyperlink"/>
          </w:rPr>
          <w:t xml:space="preserve">Release</w:t>
        </w:r>
      </w:hyperlink>
      <w:r>
        <w:t xml:space="preserve">. [12]</w:t>
      </w:r>
    </w:p>
    <w:bookmarkEnd w:id="24"/>
    <w:bookmarkStart w:id="45" w:name="go-deeper"/>
    <w:p>
      <w:pPr>
        <w:pStyle w:val="Heading2"/>
      </w:pPr>
      <w:r>
        <w:t xml:space="preserve">🎬 GO DEEPER</w:t>
      </w:r>
    </w:p>
    <w:p>
      <w:pPr>
        <w:numPr>
          <w:ilvl w:val="0"/>
          <w:numId w:val="1003"/>
        </w:numPr>
      </w:pPr>
      <w:hyperlink r:id="rId25">
        <w:r>
          <w:rPr>
            <w:rStyle w:val="Hyperlink"/>
            <w:bCs/>
            <w:b/>
          </w:rPr>
          <w:t xml:space="preserve">Theo —</w:t>
        </w:r>
        <w:r>
          <w:rPr>
            <w:rStyle w:val="Hyperlink"/>
            <w:bCs/>
            <w:b/>
          </w:rPr>
          <w:t xml:space="preserve"> </w:t>
        </w:r>
        <w:r>
          <w:rPr>
            <w:rStyle w:val="Hyperlink"/>
            <w:bCs/>
            <w:b/>
          </w:rPr>
          <w:t xml:space="preserve">“</w:t>
        </w:r>
        <w:r>
          <w:rPr>
            <w:rStyle w:val="Hyperlink"/>
            <w:bCs/>
            <w:b/>
          </w:rPr>
          <w:t xml:space="preserve">They lied…</w:t>
        </w:r>
        <w:r>
          <w:rPr>
            <w:rStyle w:val="Hyperlink"/>
            <w:bCs/>
            <w:b/>
          </w:rPr>
          <w:t xml:space="preserve">”</w:t>
        </w:r>
      </w:hyperlink>
      <w:r>
        <w:t xml:space="preserve"> </w:t>
      </w:r>
      <w:r>
        <w:t xml:space="preserve">— Start with the quota explanation, then the Fable allocation section. The useful distinction is between a weekly allowance and a model-specific ceiling; the latter can force fallback routing before the account’s overall budget is gone. [11]</w:t>
      </w:r>
      <w:r>
        <w:t xml:space="preserve"> </w:t>
      </w:r>
      <w:hyperlink r:id="rId29">
        <w:r>
          <w:drawing>
            <wp:inline>
              <wp:extent cx="5334000" cy="4000500"/>
              <wp:effectExtent b="0" l="0" r="0" t="0"/>
              <wp:docPr descr="Anthropic Is “Increasing” Your Limits" title="" id="27" name="Picture"/>
              <a:graphic>
                <a:graphicData uri="http://schemas.openxmlformats.org/drawingml/2006/picture">
                  <pic:pic>
                    <pic:nvPicPr>
                      <pic:cNvPr descr="https://img.youtube.com/vi/Q7n0PGbMW_U/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Anthropic Is</w:t>
      </w:r>
      <w:r>
        <w:rPr>
          <w:iCs/>
          <w:i/>
        </w:rPr>
        <w:t xml:space="preserve"> </w:t>
      </w:r>
      <w:r>
        <w:rPr>
          <w:iCs/>
          <w:i/>
        </w:rPr>
        <w:t xml:space="preserve">“</w:t>
      </w:r>
      <w:r>
        <w:rPr>
          <w:iCs/>
          <w:i/>
        </w:rPr>
        <w:t xml:space="preserve">Increasing</w:t>
      </w:r>
      <w:r>
        <w:rPr>
          <w:iCs/>
          <w:i/>
        </w:rPr>
        <w:t xml:space="preserve">”</w:t>
      </w:r>
      <w:r>
        <w:rPr>
          <w:iCs/>
          <w:i/>
        </w:rPr>
        <w:t xml:space="preserve"> </w:t>
      </w:r>
      <w:r>
        <w:rPr>
          <w:iCs/>
          <w:i/>
        </w:rPr>
        <w:t xml:space="preserve">Your Limits (5:30)</w:t>
      </w:r>
    </w:p>
    <w:p>
      <w:pPr>
        <w:numPr>
          <w:ilvl w:val="0"/>
          <w:numId w:val="1003"/>
        </w:numPr>
      </w:pPr>
      <w:r>
        <w:rPr>
          <w:bCs/>
          <w:b/>
        </w:rPr>
        <w:t xml:space="preserve">Study</w:t>
      </w:r>
      <w:r>
        <w:rPr>
          <w:bCs/>
          <w:b/>
        </w:rPr>
        <w:t xml:space="preserve"> </w:t>
      </w:r>
      <w:hyperlink r:id="rId30">
        <w:r>
          <w:rPr>
            <w:rStyle w:val="Hyperlink"/>
            <w:bCs/>
            <w:b/>
          </w:rPr>
          <w:t xml:space="preserve">Simon Willison’s ChatGPT Work tool reference</w:t>
        </w:r>
      </w:hyperlink>
      <w:r>
        <w:rPr>
          <w:bCs/>
          <w:b/>
        </w:rPr>
        <w:t xml:space="preserve">.</w:t>
      </w:r>
      <w:r>
        <w:t xml:space="preserve"> </w:t>
      </w:r>
      <w:r>
        <w:t xml:space="preserve">His Work session catalogued 223 registered tools and 44 skills; the</w:t>
      </w:r>
      <w:r>
        <w:t xml:space="preserve"> </w:t>
      </w:r>
      <w:r>
        <w:rPr>
          <w:rStyle w:val="VerbatimChar"/>
        </w:rPr>
        <w:t xml:space="preserve">control-browser</w:t>
      </w:r>
      <w:r>
        <w:t xml:space="preserve"> </w:t>
      </w:r>
      <w:r>
        <w:t xml:space="preserve">skill’s hard prerequisite is to emit and read the complete output of</w:t>
      </w:r>
      <w:r>
        <w:t xml:space="preserve"> </w:t>
      </w:r>
      <w:r>
        <w:rPr>
          <w:rStyle w:val="VerbatimChar"/>
        </w:rPr>
        <w:t xml:space="preserve">await browser.documentation()</w:t>
      </w:r>
      <w:r>
        <w:t xml:space="preserve"> </w:t>
      </w:r>
      <w:r>
        <w:t xml:space="preserve">before using the browser API. [3]</w:t>
      </w:r>
    </w:p>
    <w:p>
      <w:pPr>
        <w:numPr>
          <w:ilvl w:val="0"/>
          <w:numId w:val="1003"/>
        </w:numPr>
      </w:pPr>
      <w:r>
        <w:rPr>
          <w:bCs/>
          <w:b/>
        </w:rPr>
        <w:t xml:space="preserve">Study</w:t>
      </w:r>
      <w:r>
        <w:rPr>
          <w:bCs/>
          <w:b/>
        </w:rPr>
        <w:t xml:space="preserve"> </w:t>
      </w:r>
      <w:hyperlink r:id="rId31">
        <w:r>
          <w:rPr>
            <w:rStyle w:val="Hyperlink"/>
            <w:bCs/>
            <w:b/>
          </w:rPr>
          <w:t xml:space="preserve">ghuntley/slopdimension</w:t>
        </w:r>
      </w:hyperlink>
      <w:r>
        <w:rPr>
          <w:bCs/>
          <w:b/>
        </w:rPr>
        <w:t xml:space="preserve">.</w:t>
      </w:r>
      <w:r>
        <w:t xml:space="preserve"> </w:t>
      </w:r>
      <w:r>
        <w:t xml:space="preserve">Geoffrey Huntley’s weekend project turns RSS sources into prompt-defined streaming channels, optionally regenerates historical content when a channel prompt changes, and routes both chat messages and generation prompts through a Codex-powered classifier. Its Erlang/Elixir actors, Jido, RTSP, HLS, and WebRTC stack is a compact example of putting a model-gated control layer around an automated media pipeline. [13]</w:t>
      </w:r>
    </w:p>
    <w:p>
      <w:pPr>
        <w:pStyle w:val="FirstParagraph"/>
      </w:pPr>
      <w:r>
        <w:rPr>
          <w:bCs/>
          <w:b/>
        </w:rPr>
        <w:t xml:space="preserve">Editorial take:</w:t>
      </w:r>
      <w:r>
        <w:t xml:space="preserve"> </w:t>
      </w:r>
      <w:r>
        <w:t xml:space="preserve">Today’s agent frontier is controlled persistence: durable state and handoffs are becoming the product surface, while disposable instruction files, approval-gated side effects, and sandboxed execution are the counterweights. [3, 1, 4, 5]</w:t>
      </w:r>
    </w:p>
    <w:p>
      <w:r>
        <w:pict>
          <v:rect style="width:0;height:1.5pt" o:hralign="center" o:hrstd="t" o:hr="t"/>
        </w:pict>
      </w:r>
    </w:p>
    <w:bookmarkStart w:id="44" w:name="sources"/>
    <w:p>
      <w:pPr>
        <w:pStyle w:val="Heading3"/>
      </w:pPr>
      <w:r>
        <w:t xml:space="preserve">Sources</w:t>
      </w:r>
    </w:p>
    <w:p>
      <w:pPr>
        <w:numPr>
          <w:ilvl w:val="0"/>
          <w:numId w:val="1004"/>
        </w:numPr>
        <w:pStyle w:val="Compact"/>
      </w:pPr>
      <w:hyperlink r:id="rId32">
        <w:r>
          <w:rPr>
            <w:rStyle w:val="Hyperlink"/>
          </w:rPr>
          <w:t xml:space="preserve">OpenClaw 2.0, Accidentally</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@steipete</w:t>
        </w:r>
      </w:hyperlink>
    </w:p>
    <w:p>
      <w:pPr>
        <w:numPr>
          <w:ilvl w:val="0"/>
          <w:numId w:val="1004"/>
        </w:numPr>
        <w:pStyle w:val="Compact"/>
      </w:pPr>
      <w:hyperlink r:id="rId34">
        <w:r>
          <w:rPr>
            <w:rStyle w:val="Hyperlink"/>
          </w:rPr>
          <w:t xml:space="preserve">Understanding ChatGPT Work</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@GeoffreyHuntley</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@btraut</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25">
        <w:r>
          <w:rPr>
            <w:rStyle w:val="Hyperlink"/>
          </w:rPr>
          <w:t xml:space="preserve">Anthropic Is</w:t>
        </w:r>
        <w:r>
          <w:rPr>
            <w:rStyle w:val="Hyperlink"/>
          </w:rPr>
          <w:t xml:space="preserve"> </w:t>
        </w:r>
        <w:r>
          <w:rPr>
            <w:rStyle w:val="Hyperlink"/>
          </w:rPr>
          <w:t xml:space="preserve">“</w:t>
        </w:r>
        <w:r>
          <w:rPr>
            <w:rStyle w:val="Hyperlink"/>
          </w:rPr>
          <w:t xml:space="preserve">Increasing</w:t>
        </w:r>
        <w:r>
          <w:rPr>
            <w:rStyle w:val="Hyperlink"/>
          </w:rPr>
          <w:t xml:space="preserve">”</w:t>
        </w:r>
        <w:r>
          <w:rPr>
            <w:rStyle w:val="Hyperlink"/>
          </w:rPr>
          <w:t xml:space="preserve"> </w:t>
        </w:r>
        <w:r>
          <w:rPr>
            <w:rStyle w:val="Hyperlink"/>
          </w:rPr>
          <w:t xml:space="preserve">Your Limits</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@ryanrhughes</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@GeoffreyHuntley</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hyperlink" Id="rId30" Target="https://codex-tool-reference.simonw.chatgpt.site/" TargetMode="External" /><Relationship Type="http://schemas.openxmlformats.org/officeDocument/2006/relationships/hyperlink" Id="rId31" Target="https://github.com/ghuntley/slopdimension" TargetMode="External" /><Relationship Type="http://schemas.openxmlformats.org/officeDocument/2006/relationships/hyperlink" Id="rId23" Target="https://github.com/omacom/omarchy/releases#release-v4.0.2" TargetMode="External" /><Relationship Type="http://schemas.openxmlformats.org/officeDocument/2006/relationships/hyperlink" Id="rId22" Target="https://github.com/simonw/llm-anthropic/pull/84" TargetMode="External" /><Relationship Type="http://schemas.openxmlformats.org/officeDocument/2006/relationships/hyperlink" Id="rId32" Target="https://openclaw.ai/blog/openclaw-2-accidentally" TargetMode="External" /><Relationship Type="http://schemas.openxmlformats.org/officeDocument/2006/relationships/hyperlink" Id="rId34" Target="https://simonw.substack.com/p/understanding-chatgpt-work" TargetMode="External" /><Relationship Type="http://schemas.openxmlformats.org/officeDocument/2006/relationships/hyperlink" Id="rId25" Target="https://www.youtube.com/watch?v=Q7n0PGbMW_U" TargetMode="External" /><Relationship Type="http://schemas.openxmlformats.org/officeDocument/2006/relationships/hyperlink" Id="rId43" Target="https://x.com/GeoffreyHuntley/status/2094160612263960929" TargetMode="External" /><Relationship Type="http://schemas.openxmlformats.org/officeDocument/2006/relationships/hyperlink" Id="rId36" Target="https://x.com/GeoffreyHuntley/status/2094270370635505969" TargetMode="External" /><Relationship Type="http://schemas.openxmlformats.org/officeDocument/2006/relationships/hyperlink" Id="rId38" Target="https://x.com/btraut/status/2094119709222519134" TargetMode="External" /><Relationship Type="http://schemas.openxmlformats.org/officeDocument/2006/relationships/hyperlink" Id="rId35" Target="https://x.com/rileybrown/status/2094144129173176573" TargetMode="External" /><Relationship Type="http://schemas.openxmlformats.org/officeDocument/2006/relationships/hyperlink" Id="rId42" Target="https://x.com/ryanrhughes/status/2094275057325351296" TargetMode="External" /><Relationship Type="http://schemas.openxmlformats.org/officeDocument/2006/relationships/hyperlink" Id="rId33" Target="https://x.com/steipete/status/2094290652649636173" TargetMode="External" /><Relationship Type="http://schemas.openxmlformats.org/officeDocument/2006/relationships/hyperlink" Id="rId39" Target="https://x.com/theo/status/2094186414791655551" TargetMode="External" /><Relationship Type="http://schemas.openxmlformats.org/officeDocument/2006/relationships/hyperlink" Id="rId37" Target="https://x.com/theo/status/2094188698510434738" TargetMode="External" /><Relationship Type="http://schemas.openxmlformats.org/officeDocument/2006/relationships/hyperlink" Id="rId40" Target="https://x.com/thsottiaux/status/2094252447271366730" TargetMode="External" /><Relationship Type="http://schemas.openxmlformats.org/officeDocument/2006/relationships/hyperlink" Id="rId41" Target="https://x.com/thsottiaux/status/2094254532020818191" TargetMode="External" /><Relationship Type="http://schemas.openxmlformats.org/officeDocument/2006/relationships/hyperlink" Id="rId29" Target="https://youtube.com/watch?v=Q7n0PGbMW_U&amp;t=330" TargetMode="External" /></Relationships>
</file>

<file path=word/_rels/footnotes.xml.rels><?xml version="1.0" encoding="UTF-8"?><Relationships xmlns="http://schemas.openxmlformats.org/package/2006/relationships"><Relationship Type="http://schemas.openxmlformats.org/officeDocument/2006/relationships/hyperlink" Id="rId30" Target="https://codex-tool-reference.simonw.chatgpt.site/" TargetMode="External" /><Relationship Type="http://schemas.openxmlformats.org/officeDocument/2006/relationships/hyperlink" Id="rId31" Target="https://github.com/ghuntley/slopdimension" TargetMode="External" /><Relationship Type="http://schemas.openxmlformats.org/officeDocument/2006/relationships/hyperlink" Id="rId23" Target="https://github.com/omacom/omarchy/releases#release-v4.0.2" TargetMode="External" /><Relationship Type="http://schemas.openxmlformats.org/officeDocument/2006/relationships/hyperlink" Id="rId22" Target="https://github.com/simonw/llm-anthropic/pull/84" TargetMode="External" /><Relationship Type="http://schemas.openxmlformats.org/officeDocument/2006/relationships/hyperlink" Id="rId32" Target="https://openclaw.ai/blog/openclaw-2-accidentally" TargetMode="External" /><Relationship Type="http://schemas.openxmlformats.org/officeDocument/2006/relationships/hyperlink" Id="rId34" Target="https://simonw.substack.com/p/understanding-chatgpt-work" TargetMode="External" /><Relationship Type="http://schemas.openxmlformats.org/officeDocument/2006/relationships/hyperlink" Id="rId25" Target="https://www.youtube.com/watch?v=Q7n0PGbMW_U" TargetMode="External" /><Relationship Type="http://schemas.openxmlformats.org/officeDocument/2006/relationships/hyperlink" Id="rId43" Target="https://x.com/GeoffreyHuntley/status/2094160612263960929" TargetMode="External" /><Relationship Type="http://schemas.openxmlformats.org/officeDocument/2006/relationships/hyperlink" Id="rId36" Target="https://x.com/GeoffreyHuntley/status/2094270370635505969" TargetMode="External" /><Relationship Type="http://schemas.openxmlformats.org/officeDocument/2006/relationships/hyperlink" Id="rId38" Target="https://x.com/btraut/status/2094119709222519134" TargetMode="External" /><Relationship Type="http://schemas.openxmlformats.org/officeDocument/2006/relationships/hyperlink" Id="rId35" Target="https://x.com/rileybrown/status/2094144129173176573" TargetMode="External" /><Relationship Type="http://schemas.openxmlformats.org/officeDocument/2006/relationships/hyperlink" Id="rId42" Target="https://x.com/ryanrhughes/status/2094275057325351296" TargetMode="External" /><Relationship Type="http://schemas.openxmlformats.org/officeDocument/2006/relationships/hyperlink" Id="rId33" Target="https://x.com/steipete/status/2094290652649636173" TargetMode="External" /><Relationship Type="http://schemas.openxmlformats.org/officeDocument/2006/relationships/hyperlink" Id="rId39" Target="https://x.com/theo/status/2094186414791655551" TargetMode="External" /><Relationship Type="http://schemas.openxmlformats.org/officeDocument/2006/relationships/hyperlink" Id="rId37" Target="https://x.com/theo/status/2094188698510434738" TargetMode="External" /><Relationship Type="http://schemas.openxmlformats.org/officeDocument/2006/relationships/hyperlink" Id="rId40" Target="https://x.com/thsottiaux/status/2094252447271366730" TargetMode="External" /><Relationship Type="http://schemas.openxmlformats.org/officeDocument/2006/relationships/hyperlink" Id="rId41" Target="https://x.com/thsottiaux/status/2094254532020818191" TargetMode="External" /><Relationship Type="http://schemas.openxmlformats.org/officeDocument/2006/relationships/hyperlink" Id="rId29" Target="https://youtube.com/watch?v=Q7n0PGbMW_U&amp;t=3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OpenClaw 2.0 and Work Cloud Push Coding Agents Beyond the Local Harness</dc:title>
  <dc:creator>Coding Agents Alpha Tracker</dc:creator>
  <cp:keywords/>
  <dcterms:created xsi:type="dcterms:W3CDTF">2026-09-01T06:24:24Z</dcterms:created>
  <dcterms:modified xsi:type="dcterms:W3CDTF">2026-09-01T06:24:24Z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2026-08-31</vt:lpwstr>
  </property>
</Properties>
</file>