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Opus 5.5 Clears a Stalled Port; the Assembly Speedup Has a Narrow Benchmark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2026-09-26</w:t>
      </w:r>
    </w:p>
    <w:bookmarkStart w:id="51" w:name="Xa6150de336b113fd16a4acd834997decafa9d68"/>
    <w:p>
      <w:pPr>
        <w:pStyle w:val="Heading1"/>
      </w:pPr>
      <w:r>
        <w:t xml:space="preserve">Opus 5.5 Clears a Stalled Port; the Assembly Speedup Has a Narrow Benchmark</w:t>
      </w:r>
    </w:p>
    <w:p>
      <w:pPr>
        <w:pStyle w:val="FirstParagraph"/>
      </w:pPr>
      <w:r>
        <w:rPr>
          <w:iCs/>
          <w:i/>
        </w:rPr>
        <w:t xml:space="preserve">By Coding Agents Alpha Tracker • September 26, 2026</w:t>
      </w:r>
    </w:p>
    <w:p>
      <w:pPr>
        <w:pStyle w:val="BodyText"/>
      </w:pPr>
      <w:r>
        <w:t xml:space="preserve">Two practitioners report Opus 5.5 completing major language translations, while the linked</w:t>
      </w:r>
      <w:r>
        <w:t xml:space="preserve"> </w:t>
      </w:r>
      <w:r>
        <w:rPr>
          <w:rStyle w:val="VerbatimChar"/>
        </w:rPr>
        <w:t xml:space="preserve">ttfx</w:t>
      </w:r>
      <w:r>
        <w:t xml:space="preserve"> </w:t>
      </w:r>
      <w:r>
        <w:t xml:space="preserve">PR gives a testable, decrypt-specific speed result rather than a general coding benchmark. The brief pairs that signal with concrete practices for scoping long runs, verifying agents, and evaluating new developer tools.</w:t>
      </w:r>
    </w:p>
    <w:bookmarkStart w:id="20" w:name="top-signal"/>
    <w:p>
      <w:pPr>
        <w:pStyle w:val="Heading2"/>
      </w:pPr>
      <w:r>
        <w:t xml:space="preserve">🔥 TOP SIGNAL</w:t>
      </w:r>
    </w:p>
    <w:p>
      <w:pPr>
        <w:pStyle w:val="FirstParagraph"/>
      </w:pPr>
      <w:r>
        <w:rPr>
          <w:bCs/>
          <w:b/>
        </w:rPr>
        <w:t xml:space="preserve">Long-horizon code translation is the strongest signal.</w:t>
      </w:r>
      <w:r>
        <w:t xml:space="preserve"> </w:t>
      </w:r>
      <w:r>
        <w:t xml:space="preserve">Theo says Opus 5.5 got his four-month, on-and-off TypeScript-compiler-to-Rust port working in 10 hours, after GPT-5.6 Sol and GPT-6 Astra plateaued at roughly 35% and 85% of tests passing. [1, 2] DHH separately says Opus 5.5 translated Omarchy’s</w:t>
      </w:r>
      <w:r>
        <w:t xml:space="preserve"> </w:t>
      </w:r>
      <w:r>
        <w:rPr>
          <w:rStyle w:val="VerbatimChar"/>
        </w:rPr>
        <w:t xml:space="preserve">ttfx</w:t>
      </w:r>
      <w:r>
        <w:t xml:space="preserve"> </w:t>
      </w:r>
      <w:r>
        <w:t xml:space="preserve">from Rust to x86-64 assembly and claims up to 17× faster. The linked PR reports 14.5× on one</w:t>
      </w:r>
      <w:r>
        <w:t xml:space="preserve"> </w:t>
      </w:r>
      <w:r>
        <w:rPr>
          <w:rStyle w:val="VerbatimChar"/>
        </w:rPr>
        <w:t xml:space="preserve">decrypt</w:t>
      </w:r>
      <w:r>
        <w:t xml:space="preserve"> </w:t>
      </w:r>
      <w:r>
        <w:t xml:space="preserve">test (371→25.5 ms) and separately lists 32.5 ms versus Rust’s 371 ms, with 206/206 oracle cases matching—strong project-specific evidence, not a general coding benchmark. [3, 4]</w:t>
      </w:r>
    </w:p>
    <w:bookmarkEnd w:id="20"/>
    <w:bookmarkStart w:id="22" w:name="try-this"/>
    <w:p>
      <w:pPr>
        <w:pStyle w:val="Heading2"/>
      </w:pPr>
      <w:r>
        <w:t xml:space="preserve">⚡ TRY THIS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Give long runs a finish line and a quality target.</w:t>
      </w:r>
      <w:r>
        <w:t xml:space="preserve"> </w:t>
      </w:r>
      <w:r>
        <w:t xml:space="preserve">Theo’s exact request:</w:t>
      </w:r>
      <w:r>
        <w:t xml:space="preserve"> </w:t>
      </w:r>
      <w:r>
        <w:rPr>
          <w:rStyle w:val="VerbatimChar"/>
        </w:rPr>
        <w:t xml:space="preserve">/goal finish the port and make it faster</w:t>
      </w:r>
      <w:r>
        <w:t xml:space="preserve">. Peter Steinberger used</w:t>
      </w:r>
      <w:r>
        <w:t xml:space="preserve"> </w:t>
      </w:r>
      <w:r>
        <w:rPr>
          <w:rStyle w:val="VerbatimChar"/>
        </w:rPr>
        <w:t xml:space="preserve">/goal</w:t>
      </w:r>
      <w:r>
        <w:t xml:space="preserve"> </w:t>
      </w:r>
      <w:r>
        <w:t xml:space="preserve">with Astra to move OpenClaw off synchronous SQLite after it became limiting with one agent running 50 sessions in parallel; he reports 575 PRs landed so far, with improvements shipped along the way. [2, 5]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Make review adversarial and isolated.</w:t>
      </w:r>
      <w:r>
        <w:t xml:space="preserve"> </w:t>
      </w:r>
      <w:r>
        <w:t xml:space="preserve">Steinberger’s auto-review skill starts a fresh-context reviewer, feeds its findings back to the writer, and repeats; then the agent gets a separate test box to install the app, inspect the UI, and verify it end to end. He says this can turn a 10-minute PR into two hours, but lets him parallelize about 20 tasks—reserve the extra validation for changes where it pays back. [6]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Turn Slack bug reports into repro-to-PR jobs.</w:t>
      </w:r>
      <w:r>
        <w:t xml:space="preserve"> </w:t>
      </w:r>
      <w:r>
        <w:t xml:space="preserve">Boris Cherny says Claude Tag writes more than 50% of his PRs each day; his prompt is:</w:t>
      </w:r>
      <w:r>
        <w:t xml:space="preserve"> </w:t>
      </w:r>
      <w:r>
        <w:t xml:space="preserve">“</w:t>
      </w:r>
      <w:r>
        <w:t xml:space="preserve">@Claude</w:t>
      </w:r>
      <w:r>
        <w:t xml:space="preserve"> </w:t>
      </w:r>
      <w:r>
        <w:t xml:space="preserve">from now on, attempt to repro every bug in this channel end to end, running the full app. Once you reproduce the bug, put up a PR to fix it and tag the right team for code review.</w:t>
      </w:r>
      <w:r>
        <w:t xml:space="preserve">”</w:t>
      </w:r>
      <w:r>
        <w:t xml:space="preserve"> </w:t>
      </w:r>
      <w:r>
        <w:t xml:space="preserve">[7]</w:t>
      </w:r>
      <w:r>
        <w:t xml:space="preserve"> </w:t>
      </w:r>
      <w:hyperlink r:id="rId21">
        <w:r>
          <w:rPr>
            <w:rStyle w:val="Hyperlink"/>
          </w:rPr>
          <w:t xml:space="preserve">Claude Tag</w:t>
        </w:r>
      </w:hyperlink>
      <w:r>
        <w:t xml:space="preserve">’s personal connectors are rolling out on Team plans, with Enterprise to follow; those personal connectors are for user-requested work, not scheduled or agent-started runs, which require connectors attached to the channel. [8]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Write the HLDD after the implementation works.</w:t>
      </w:r>
      <w:r>
        <w:t xml:space="preserve"> </w:t>
      </w:r>
      <w:r>
        <w:t xml:space="preserve">Geoffrey Huntley’s pattern: use pre-commit hooks and agent skills to keep the high-level design doc updated, then self-host it in the product. Put the human-authored rationale and success measures first, implementation details below, and editor remarks where a subsection needs its intent preserved. [9]</w:t>
      </w:r>
    </w:p>
    <w:bookmarkEnd w:id="22"/>
    <w:bookmarkStart w:id="24" w:name="what-shipped"/>
    <w:p>
      <w:pPr>
        <w:pStyle w:val="Heading2"/>
      </w:pPr>
      <w:r>
        <w:t xml:space="preserve">📡 WHAT SHIPPED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Antigravity 2.0 adds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/plan</w:t>
      </w:r>
      <w:r>
        <w:rPr>
          <w:bCs/>
          <w:b/>
        </w:rPr>
        <w:t xml:space="preserve"> </w:t>
      </w:r>
      <w:r>
        <w:rPr>
          <w:bCs/>
          <w:b/>
        </w:rPr>
        <w:t xml:space="preserve">in the app and CLI.</w:t>
      </w:r>
      <w:r>
        <w:t xml:space="preserve"> </w:t>
      </w:r>
      <w:r>
        <w:t xml:space="preserve">The workflow explores files and dependencies without writing code, asks clarifying questions, then produces a reviewable plan with verification checkpoints. Review or adjust it and click</w:t>
      </w:r>
      <w:r>
        <w:t xml:space="preserve"> </w:t>
      </w:r>
      <w:r>
        <w:rPr>
          <w:bCs/>
          <w:b/>
        </w:rPr>
        <w:t xml:space="preserve">Proceed</w:t>
      </w:r>
      <w:r>
        <w:t xml:space="preserve">; the docs say whether the agent pauses for approval is configurable through the artifact review policy, so set that explicitly if you need a hard gate. [10, 11]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Microsoft Copilot Code is an app builder, not the new default coding IDE.</w:t>
      </w:r>
      <w:r>
        <w:t xml:space="preserve"> </w:t>
      </w:r>
      <w:r>
        <w:t xml:space="preserve">It turns natural-language requests into dashboards, automations, and internal apps in a sandbox that can be hosted in a tenant. Frontier rollout is slated for month-end, Managed Runtime is already in preview, and Microsoft says developers will keep using GitHub Copilot for day-to-day work. [12]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Autopilot is a separate persistent agent.</w:t>
      </w:r>
      <w:r>
        <w:t xml:space="preserve"> </w:t>
      </w:r>
      <w:r>
        <w:t xml:space="preserve">Microsoft describes a cloud-hosted agent that watches channels, follows up, handles recurring work, and can resume projects days later; its blog says private-preview expansion is at month-end. Omar Shahine says it is built on OpenClaw, whose team worked with Microsoft on deployment readiness; local inference, file transfer, and code mode on machines connected to the OpenClaw gateway are still described as upcoming. [12, 13, 14, 15]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Cua Driver is now stable and open source for Omarchy.</w:t>
      </w:r>
      <w:r>
        <w:t xml:space="preserve"> </w:t>
      </w:r>
      <w:r>
        <w:t xml:space="preserve">TryCua says its native synthetic cursor for Hyprland enables OS-level multi-cursor control. The</w:t>
      </w:r>
      <w:r>
        <w:t xml:space="preserve"> </w:t>
      </w:r>
      <w:hyperlink r:id="rId23">
        <w:r>
          <w:rPr>
            <w:rStyle w:val="Hyperlink"/>
          </w:rPr>
          <w:t xml:space="preserve">repo</w:t>
        </w:r>
      </w:hyperlink>
      <w:r>
        <w:t xml:space="preserve"> </w:t>
      </w:r>
      <w:r>
        <w:t xml:space="preserve">shows two sessions operating Calc and Inkscape on Omarchy and supports agent connections through CLI, MCP, or typed SDKs. [16, 17]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OpenRouter introduced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typesafe/jev-router</w:t>
      </w:r>
      <w:r>
        <w:rPr>
          <w:bCs/>
          <w:b/>
        </w:rPr>
        <w:t xml:space="preserve">, a cache-aware model-and-reasoning-effort selector.</w:t>
      </w:r>
      <w:r>
        <w:t xml:space="preserve"> </w:t>
      </w:r>
      <w:r>
        <w:t xml:space="preserve">Theo’s objection is coding-specific: Jev categorizes but cannot see the codebase or the agent’s tools, so prompt-only complexity estimates may miss the work involved. He also doubts mid-task downgrades save much when cache writes are a large cost, and says he is still gathering numbers; his early comparison to a</w:t>
      </w:r>
      <w:r>
        <w:t xml:space="preserve"> </w:t>
      </w:r>
      <w:r>
        <w:t xml:space="preserve">“</w:t>
      </w:r>
      <w:r>
        <w:t xml:space="preserve">DeepSeek 4.1 Flash router</w:t>
      </w:r>
      <w:r>
        <w:t xml:space="preserve">”</w:t>
      </w:r>
      <w:r>
        <w:t xml:space="preserve"> </w:t>
      </w:r>
      <w:r>
        <w:t xml:space="preserve">is only an impression. [18, 19, 20, 21]</w:t>
      </w:r>
    </w:p>
    <w:bookmarkEnd w:id="24"/>
    <w:bookmarkStart w:id="50" w:name="go-deeper"/>
    <w:p>
      <w:pPr>
        <w:pStyle w:val="Heading2"/>
      </w:pPr>
      <w:r>
        <w:t xml:space="preserve">🎬 GO DEEPER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Video —</w:t>
      </w:r>
      <w:r>
        <w:rPr>
          <w:bCs/>
          <w:b/>
        </w:rPr>
        <w:t xml:space="preserve"> </w:t>
      </w:r>
      <w:hyperlink r:id="rId25">
        <w:r>
          <w:rPr>
            <w:rStyle w:val="Hyperlink"/>
            <w:bCs/>
            <w:b/>
          </w:rPr>
          <w:t xml:space="preserve">Peter Steinberger on coding-agent review loops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The useful segment is his fresh-context reviewer and isolated test-box workflow, not a model demo. [6]</w:t>
      </w:r>
      <w:r>
        <w:t xml:space="preserve"> </w:t>
      </w:r>
      <w:hyperlink r:id="rId29">
        <w:r>
          <w:drawing>
            <wp:inline>
              <wp:extent cx="5334000" cy="4000500"/>
              <wp:effectExtent b="0" l="0" r="0" t="0"/>
              <wp:docPr descr="Peter Steinberger: Stop Sending Me Code. Send Me Your Prompt" title="" id="27" name="Picture"/>
              <a:graphic>
                <a:graphicData uri="http://schemas.openxmlformats.org/drawingml/2006/picture">
                  <pic:pic>
                    <pic:nvPicPr>
                      <pic:cNvPr descr="https://img.youtube.com/vi/zrGXl7m76lY/hqdefault.jpg" id="28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Peter Steinberger: Stop Sending Me Code. Send Me Your Prompt (34:00)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PR —</w:t>
      </w:r>
      <w:r>
        <w:rPr>
          <w:bCs/>
          <w:b/>
        </w:rPr>
        <w:t xml:space="preserve"> </w:t>
      </w:r>
      <w:hyperlink r:id="rId30">
        <w:r>
          <w:rPr>
            <w:rStyle w:val="Hyperlink"/>
            <w:bCs/>
            <w:b/>
          </w:rPr>
          <w:t xml:space="preserve">Omarchy</w:t>
        </w:r>
        <w:r>
          <w:rPr>
            <w:rStyle w:val="Hyperlink"/>
            <w:bCs/>
            <w:b/>
          </w:rPr>
          <w:t xml:space="preserve"> </w:t>
        </w:r>
        <w:r>
          <w:rPr>
            <w:rStyle w:val="VerbatimChar"/>
            <w:bCs/>
            <w:b/>
          </w:rPr>
          <w:t xml:space="preserve">ttfx</w:t>
        </w:r>
        <w:r>
          <w:rPr>
            <w:rStyle w:val="Hyperlink"/>
            <w:bCs/>
            <w:b/>
          </w:rPr>
          <w:t xml:space="preserve"> </w:t>
        </w:r>
        <w:r>
          <w:rPr>
            <w:rStyle w:val="Hyperlink"/>
            <w:bCs/>
            <w:b/>
          </w:rPr>
          <w:t xml:space="preserve">Rust-to-assembly port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Inspect how Rust remains the front end and fallback for unported effects, while the assembly engine is checked against byte-for-byte oracle cases. [4]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Repo —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Cua Driver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The quickstart connects an agent to Calculator, asks it to compute 6 × 7, and checks that the app displays 42; the repo also documents CLI, MCP, and SDK integrations. [17]</w:t>
      </w:r>
    </w:p>
    <w:p>
      <w:pPr>
        <w:pStyle w:val="FirstParagraph"/>
      </w:pPr>
      <w:r>
        <w:rPr>
          <w:bCs/>
          <w:b/>
        </w:rPr>
        <w:t xml:space="preserve">Editorial take:</w:t>
      </w:r>
      <w:r>
        <w:t xml:space="preserve"> </w:t>
      </w:r>
      <w:r>
        <w:t xml:space="preserve">The edge is not simply</w:t>
      </w:r>
      <w:r>
        <w:t xml:space="preserve"> </w:t>
      </w:r>
      <w:r>
        <w:t xml:space="preserve">“</w:t>
      </w:r>
      <w:r>
        <w:t xml:space="preserve">let it run</w:t>
      </w:r>
      <w:r>
        <w:t xml:space="preserve">”</w:t>
      </w:r>
      <w:r>
        <w:t xml:space="preserve">: specify the finish line, then give an independent reviewer and a real execution environment a chance to falsify the result. [2, 6]</w:t>
      </w:r>
    </w:p>
    <w:p>
      <w:r>
        <w:pict>
          <v:rect style="width:0;height:1.5pt" o:hralign="center" o:hrstd="t" o:hr="t"/>
        </w:pict>
      </w:r>
    </w:p>
    <w:bookmarkStart w:id="49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4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@dhh</w:t>
        </w:r>
      </w:hyperlink>
    </w:p>
    <w:p>
      <w:pPr>
        <w:numPr>
          <w:ilvl w:val="0"/>
          <w:numId w:val="1004"/>
        </w:numPr>
        <w:pStyle w:val="Compact"/>
      </w:pPr>
      <w:hyperlink r:id="rId30">
        <w:r>
          <w:rPr>
            <w:rStyle w:val="Hyperlink"/>
          </w:rPr>
          <w:t xml:space="preserve">Add an x86-64 assembly engine for all 37 effects by dhh · Pull Request #35</w:t>
        </w:r>
      </w:hyperlink>
    </w:p>
    <w:p>
      <w:pPr>
        <w:numPr>
          <w:ilvl w:val="0"/>
          <w:numId w:val="1004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4"/>
        </w:numPr>
        <w:pStyle w:val="Compact"/>
      </w:pPr>
      <w:hyperlink r:id="rId25">
        <w:r>
          <w:rPr>
            <w:rStyle w:val="Hyperlink"/>
          </w:rPr>
          <w:t xml:space="preserve">Peter Steinberger: Stop Sending Me Code. Send Me Your Prompt</w:t>
        </w:r>
      </w:hyperlink>
    </w:p>
    <w:p>
      <w:pPr>
        <w:numPr>
          <w:ilvl w:val="0"/>
          <w:numId w:val="1004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@bcherny</w:t>
        </w:r>
      </w:hyperlink>
    </w:p>
    <w:p>
      <w:pPr>
        <w:numPr>
          <w:ilvl w:val="0"/>
          <w:numId w:val="1004"/>
        </w:numPr>
        <w:pStyle w:val="Compact"/>
      </w:pPr>
      <w:hyperlink r:id="rId36">
        <w:r>
          <w:rPr>
            <w:rStyle w:val="Hyperlink"/>
          </w:rPr>
          <w:t xml:space="preserve">Claude Tag now supports personal connectors in channels</w:t>
        </w:r>
      </w:hyperlink>
    </w:p>
    <w:p>
      <w:pPr>
        <w:numPr>
          <w:ilvl w:val="0"/>
          <w:numId w:val="1004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4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@antigravity</w:t>
        </w:r>
      </w:hyperlink>
    </w:p>
    <w:p>
      <w:pPr>
        <w:numPr>
          <w:ilvl w:val="0"/>
          <w:numId w:val="1004"/>
        </w:numPr>
        <w:pStyle w:val="Compact"/>
      </w:pPr>
      <w:hyperlink r:id="rId39">
        <w:r>
          <w:rPr>
            <w:rStyle w:val="Hyperlink"/>
          </w:rPr>
          <w:t xml:space="preserve">Plan (/plan)</w:t>
        </w:r>
      </w:hyperlink>
    </w:p>
    <w:p>
      <w:pPr>
        <w:numPr>
          <w:ilvl w:val="0"/>
          <w:numId w:val="1004"/>
        </w:numPr>
        <w:pStyle w:val="Compact"/>
      </w:pPr>
      <w:hyperlink r:id="rId40">
        <w:r>
          <w:rPr>
            <w:rStyle w:val="Hyperlink"/>
          </w:rPr>
          <w:t xml:space="preserve">Introducing the new Copilot with Home, Code and Autopilot - The Official Microsoft Blog</w:t>
        </w:r>
      </w:hyperlink>
    </w:p>
    <w:p>
      <w:pPr>
        <w:numPr>
          <w:ilvl w:val="0"/>
          <w:numId w:val="1004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@OmarShahine</w:t>
        </w:r>
      </w:hyperlink>
    </w:p>
    <w:p>
      <w:pPr>
        <w:numPr>
          <w:ilvl w:val="0"/>
          <w:numId w:val="1004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4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4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@trycua</w:t>
        </w:r>
      </w:hyperlink>
    </w:p>
    <w:p>
      <w:pPr>
        <w:numPr>
          <w:ilvl w:val="0"/>
          <w:numId w:val="1004"/>
        </w:numPr>
        <w:pStyle w:val="Compact"/>
      </w:pPr>
      <w:hyperlink r:id="rId23">
        <w:r>
          <w:rPr>
            <w:rStyle w:val="Hyperlink"/>
          </w:rPr>
          <w:t xml:space="preserve">trycua/cua: Scale computer-use 2.0 with open-source drivers, cross-OS fleets, and benchmarks for training, evaluation, and data generation.</w:t>
        </w:r>
      </w:hyperlink>
    </w:p>
    <w:p>
      <w:pPr>
        <w:numPr>
          <w:ilvl w:val="0"/>
          <w:numId w:val="1004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@OpenRouter</w:t>
        </w:r>
      </w:hyperlink>
    </w:p>
    <w:p>
      <w:pPr>
        <w:numPr>
          <w:ilvl w:val="0"/>
          <w:numId w:val="1004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bookmarkEnd w:id="49"/>
    <w:bookmarkEnd w:id="50"/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hyperlink" Id="rId39" Target="https://antigravity.google/docs/plan" TargetMode="External" /><Relationship Type="http://schemas.openxmlformats.org/officeDocument/2006/relationships/hyperlink" Id="rId40" Target="https://blogs.microsoft.com/blog/2026/09/25/introducing-the-new-copilot-with-home-code-and-autopilot/" TargetMode="External" /><Relationship Type="http://schemas.openxmlformats.org/officeDocument/2006/relationships/hyperlink" Id="rId36" Target="https://claude.com/blog/claude-tag-now-supports-personal-connectors-in-channels" TargetMode="External" /><Relationship Type="http://schemas.openxmlformats.org/officeDocument/2006/relationships/hyperlink" Id="rId21" Target="https://claude.com/product/tag" TargetMode="External" /><Relationship Type="http://schemas.openxmlformats.org/officeDocument/2006/relationships/hyperlink" Id="rId30" Target="https://github.com/omacom/ttfx/pull/35/" TargetMode="External" /><Relationship Type="http://schemas.openxmlformats.org/officeDocument/2006/relationships/hyperlink" Id="rId23" Target="https://github.com/trycua/cua" TargetMode="External" /><Relationship Type="http://schemas.openxmlformats.org/officeDocument/2006/relationships/hyperlink" Id="rId25" Target="https://www.youtube.com/watch?v=zrGXl7m76lY" TargetMode="External" /><Relationship Type="http://schemas.openxmlformats.org/officeDocument/2006/relationships/hyperlink" Id="rId37" Target="https://x.com/GeoffreyHuntley/status/2103421056765853984" TargetMode="External" /><Relationship Type="http://schemas.openxmlformats.org/officeDocument/2006/relationships/hyperlink" Id="rId41" Target="https://x.com/OmarShahine/status/2103480227561079264" TargetMode="External" /><Relationship Type="http://schemas.openxmlformats.org/officeDocument/2006/relationships/hyperlink" Id="rId45" Target="https://x.com/OpenRouter/status/2103610898690855161" TargetMode="External" /><Relationship Type="http://schemas.openxmlformats.org/officeDocument/2006/relationships/hyperlink" Id="rId38" Target="https://x.com/antigravity/status/2103611698800140697" TargetMode="External" /><Relationship Type="http://schemas.openxmlformats.org/officeDocument/2006/relationships/hyperlink" Id="rId35" Target="https://x.com/bcherny/status/2103538666597691552" TargetMode="External" /><Relationship Type="http://schemas.openxmlformats.org/officeDocument/2006/relationships/hyperlink" Id="rId33" Target="https://x.com/dhh/status/2103595410921279635" TargetMode="External" /><Relationship Type="http://schemas.openxmlformats.org/officeDocument/2006/relationships/hyperlink" Id="rId42" Target="https://x.com/steipete/status/2103491173927272531" TargetMode="External" /><Relationship Type="http://schemas.openxmlformats.org/officeDocument/2006/relationships/hyperlink" Id="rId43" Target="https://x.com/steipete/status/2103491221515907087" TargetMode="External" /><Relationship Type="http://schemas.openxmlformats.org/officeDocument/2006/relationships/hyperlink" Id="rId34" Target="https://x.com/steipete/status/2103648679169257737" TargetMode="External" /><Relationship Type="http://schemas.openxmlformats.org/officeDocument/2006/relationships/hyperlink" Id="rId32" Target="https://x.com/theo/status/2103558185487577476" TargetMode="External" /><Relationship Type="http://schemas.openxmlformats.org/officeDocument/2006/relationships/hyperlink" Id="rId46" Target="https://x.com/theo/status/2103614549006156146" TargetMode="External" /><Relationship Type="http://schemas.openxmlformats.org/officeDocument/2006/relationships/hyperlink" Id="rId47" Target="https://x.com/theo/status/2103614897129144545" TargetMode="External" /><Relationship Type="http://schemas.openxmlformats.org/officeDocument/2006/relationships/hyperlink" Id="rId31" Target="https://x.com/theo/status/2103665601466237261" TargetMode="External" /><Relationship Type="http://schemas.openxmlformats.org/officeDocument/2006/relationships/hyperlink" Id="rId48" Target="https://x.com/theo/status/2103701465084919906" TargetMode="External" /><Relationship Type="http://schemas.openxmlformats.org/officeDocument/2006/relationships/hyperlink" Id="rId44" Target="https://x.com/trycua/status/2103498682532253734" TargetMode="External" /><Relationship Type="http://schemas.openxmlformats.org/officeDocument/2006/relationships/hyperlink" Id="rId29" Target="https://youtube.com/watch?v=zrGXl7m76lY&amp;t=20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antigravity.google/docs/plan" TargetMode="External" /><Relationship Type="http://schemas.openxmlformats.org/officeDocument/2006/relationships/hyperlink" Id="rId40" Target="https://blogs.microsoft.com/blog/2026/09/25/introducing-the-new-copilot-with-home-code-and-autopilot/" TargetMode="External" /><Relationship Type="http://schemas.openxmlformats.org/officeDocument/2006/relationships/hyperlink" Id="rId36" Target="https://claude.com/blog/claude-tag-now-supports-personal-connectors-in-channels" TargetMode="External" /><Relationship Type="http://schemas.openxmlformats.org/officeDocument/2006/relationships/hyperlink" Id="rId21" Target="https://claude.com/product/tag" TargetMode="External" /><Relationship Type="http://schemas.openxmlformats.org/officeDocument/2006/relationships/hyperlink" Id="rId30" Target="https://github.com/omacom/ttfx/pull/35/" TargetMode="External" /><Relationship Type="http://schemas.openxmlformats.org/officeDocument/2006/relationships/hyperlink" Id="rId23" Target="https://github.com/trycua/cua" TargetMode="External" /><Relationship Type="http://schemas.openxmlformats.org/officeDocument/2006/relationships/hyperlink" Id="rId25" Target="https://www.youtube.com/watch?v=zrGXl7m76lY" TargetMode="External" /><Relationship Type="http://schemas.openxmlformats.org/officeDocument/2006/relationships/hyperlink" Id="rId37" Target="https://x.com/GeoffreyHuntley/status/2103421056765853984" TargetMode="External" /><Relationship Type="http://schemas.openxmlformats.org/officeDocument/2006/relationships/hyperlink" Id="rId41" Target="https://x.com/OmarShahine/status/2103480227561079264" TargetMode="External" /><Relationship Type="http://schemas.openxmlformats.org/officeDocument/2006/relationships/hyperlink" Id="rId45" Target="https://x.com/OpenRouter/status/2103610898690855161" TargetMode="External" /><Relationship Type="http://schemas.openxmlformats.org/officeDocument/2006/relationships/hyperlink" Id="rId38" Target="https://x.com/antigravity/status/2103611698800140697" TargetMode="External" /><Relationship Type="http://schemas.openxmlformats.org/officeDocument/2006/relationships/hyperlink" Id="rId35" Target="https://x.com/bcherny/status/2103538666597691552" TargetMode="External" /><Relationship Type="http://schemas.openxmlformats.org/officeDocument/2006/relationships/hyperlink" Id="rId33" Target="https://x.com/dhh/status/2103595410921279635" TargetMode="External" /><Relationship Type="http://schemas.openxmlformats.org/officeDocument/2006/relationships/hyperlink" Id="rId42" Target="https://x.com/steipete/status/2103491173927272531" TargetMode="External" /><Relationship Type="http://schemas.openxmlformats.org/officeDocument/2006/relationships/hyperlink" Id="rId43" Target="https://x.com/steipete/status/2103491221515907087" TargetMode="External" /><Relationship Type="http://schemas.openxmlformats.org/officeDocument/2006/relationships/hyperlink" Id="rId34" Target="https://x.com/steipete/status/2103648679169257737" TargetMode="External" /><Relationship Type="http://schemas.openxmlformats.org/officeDocument/2006/relationships/hyperlink" Id="rId32" Target="https://x.com/theo/status/2103558185487577476" TargetMode="External" /><Relationship Type="http://schemas.openxmlformats.org/officeDocument/2006/relationships/hyperlink" Id="rId46" Target="https://x.com/theo/status/2103614549006156146" TargetMode="External" /><Relationship Type="http://schemas.openxmlformats.org/officeDocument/2006/relationships/hyperlink" Id="rId47" Target="https://x.com/theo/status/2103614897129144545" TargetMode="External" /><Relationship Type="http://schemas.openxmlformats.org/officeDocument/2006/relationships/hyperlink" Id="rId31" Target="https://x.com/theo/status/2103665601466237261" TargetMode="External" /><Relationship Type="http://schemas.openxmlformats.org/officeDocument/2006/relationships/hyperlink" Id="rId48" Target="https://x.com/theo/status/2103701465084919906" TargetMode="External" /><Relationship Type="http://schemas.openxmlformats.org/officeDocument/2006/relationships/hyperlink" Id="rId44" Target="https://x.com/trycua/status/2103498682532253734" TargetMode="External" /><Relationship Type="http://schemas.openxmlformats.org/officeDocument/2006/relationships/hyperlink" Id="rId29" Target="https://youtube.com/watch?v=zrGXl7m76lY&amp;t=20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Opus 5.5 Clears a Stalled Port; the Assembly Speedup Has a Narrow Benchmark</dc:title>
  <dc:creator>Coding Agents Alpha Tracker</dc:creator>
  <cp:keywords/>
  <dcterms:created xsi:type="dcterms:W3CDTF">2026-09-26T22:53:55Z</dcterms:created>
  <dcterms:modified xsi:type="dcterms:W3CDTF">2026-09-26T22:53:55Z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2026-09-26</vt:lpwstr>
  </property>
</Properties>
</file>