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Opus Autonomy Playbook and the Loop Backlash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2026-06-08</w:t>
      </w:r>
    </w:p>
    <w:bookmarkStart w:id="33" w:name="Xa9512d687ce5e9f1a3f9c93531762d3bda43f89"/>
    <w:p>
      <w:pPr>
        <w:pStyle w:val="Heading1"/>
      </w:pPr>
      <w:r>
        <w:t xml:space="preserve">Opus Autonomy Playbook and the Loop Backlash</w:t>
      </w:r>
    </w:p>
    <w:p>
      <w:pPr>
        <w:pStyle w:val="FirstParagraph"/>
      </w:pPr>
      <w:r>
        <w:rPr>
          <w:iCs/>
          <w:i/>
        </w:rPr>
        <w:t xml:space="preserve">By Coding Agents Alpha Tracker • June 8, 2026</w:t>
      </w:r>
    </w:p>
    <w:p>
      <w:pPr>
        <w:pStyle w:val="BodyText"/>
      </w:pPr>
      <w:r>
        <w:t xml:space="preserve">Boris Cherny shared the clearest checklist yet for running coding agents autonomously for hours or days, while OpenAI’s Codex use-case push shows where AI teammates are actually landing today. The other big signal: senior engineers are embracing orchestration loops, but there is already backlash against treating that pattern as universal advice.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Long-running coding agents finally have an operator playbook. Boris Cherny says he is seeing benchmarks where</w:t>
      </w:r>
      <w:r>
        <w:t xml:space="preserve"> </w:t>
      </w:r>
      <w:r>
        <w:rPr>
          <w:bCs/>
          <w:b/>
        </w:rPr>
        <w:t xml:space="preserve">Opus</w:t>
      </w:r>
      <w:r>
        <w:t xml:space="preserve"> </w:t>
      </w:r>
      <w:r>
        <w:t xml:space="preserve">is the best model for long-running work, and he pairs that with a concrete setup for unattended runs: auto-permissions, dynamic workflows,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, cloud execution, and end-to-end self-verification [1]. The bigger pattern is real—steipete, Armin Ronacher, and Boris are all pointing toward loops that prompt agents—but today’s best correction comes from ThePrimeagen: don’t turn an advanced orchestration pattern into universal advice [2, 3, 4, 5].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Boris Cherny — set up Opus for hours/days, not a single sitting.</w:t>
      </w:r>
      <w:r>
        <w:t xml:space="preserve"> </w:t>
      </w:r>
      <w:r>
        <w:t xml:space="preserve">1) Enable auto mode for permissions. 2) Use dynamic workflows when the task needs hundreds or thousands of agents. 3) Start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 </w:t>
      </w:r>
      <w:r>
        <w:t xml:space="preserve">so work continues until done. 4) Run Claude Code in the cloud via desktop/mobile so you can close the laptop. 5) Give the agent a way to verify end to end—Chrome for web, iOS/Android sim MCP for mobile, or a full backend/server start path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Loops are emerging as the power-user abstraction.</w:t>
      </w:r>
      <w:r>
        <w:t xml:space="preserve"> </w:t>
      </w:r>
      <w:r>
        <w:t xml:space="preserve">steipete’s pattern is blunt: stop manually prompting coding agents; design loops that prompt them instead. Armin Ronacher says he treats that view as</w:t>
      </w:r>
      <w:r>
        <w:t xml:space="preserve"> </w:t>
      </w:r>
      <w:r>
        <w:t xml:space="preserve">“</w:t>
      </w:r>
      <w:r>
        <w:t xml:space="preserve">a glimpse into the future,</w:t>
      </w:r>
      <w:r>
        <w:t xml:space="preserve">”</w:t>
      </w:r>
      <w:r>
        <w:t xml:space="preserve"> </w:t>
      </w:r>
      <w:r>
        <w:t xml:space="preserve">and Boris frames the same shift as moving from direct prompts to loops that figure out what to do [2, 3, 4].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99.9999% of you should in fact not being “looping</w:t>
      </w:r>
      <w:r>
        <w:t xml:space="preserve">”</w:t>
      </w:r>
      <w:r>
        <w:t xml:space="preserve"> </w:t>
      </w:r>
      <w:r>
        <w:t xml:space="preserve">your agent” [5]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Takeaway:</w:t>
      </w:r>
      <w:r>
        <w:t xml:space="preserve"> </w:t>
      </w:r>
      <w:r>
        <w:t xml:space="preserve">treat loops as an advanced orchestration technique, not a default requirement for every developer [2, 4, 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Codex — start with bounded teammate jobs.</w:t>
      </w:r>
      <w:r>
        <w:t xml:space="preserve"> </w:t>
      </w:r>
      <w:r>
        <w:t xml:space="preserve">OpenAI’s concrete examples are the right kind of starting point: review GitHub pull requests before human review, turn Figma designs into production-ready code, understand large codebases in minutes, automate bug triage and QA, deploy apps or websites from prompts, build Mac and iOS apps, and turn Slack threads into coding tasks [6]. The use-cases page is here:</w:t>
      </w:r>
      <w:r>
        <w:t xml:space="preserve"> </w:t>
      </w:r>
      <w:hyperlink r:id="rId21">
        <w:r>
          <w:rPr>
            <w:rStyle w:val="Hyperlink"/>
          </w:rPr>
          <w:t xml:space="preserve">developers.openai.com/codex/use-cases</w:t>
        </w:r>
      </w:hyperlink>
      <w:r>
        <w:t xml:space="preserve"> </w:t>
      </w:r>
      <w:r>
        <w:t xml:space="preserve">[6].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Stress-test your evals with long-horizon tasks.</w:t>
      </w:r>
      <w:r>
        <w:t xml:space="preserve"> </w:t>
      </w:r>
      <w:r>
        <w:t xml:space="preserve">SWE-Marathon is designed to measure coherence across a</w:t>
      </w:r>
      <w:r>
        <w:t xml:space="preserve"> </w:t>
      </w:r>
      <w:r>
        <w:rPr>
          <w:bCs/>
          <w:b/>
        </w:rPr>
        <w:t xml:space="preserve">1B-token</w:t>
      </w:r>
      <w:r>
        <w:t xml:space="preserve"> </w:t>
      </w:r>
      <w:r>
        <w:t xml:space="preserve">budget on tasks like building Slack from scratch, rewriting a JAX codebase in PyTorch, and building a C compiler in Rust [7, 1]. If you need examples of what long-horizon software work actually looks like, this is the best framing in today’s source set [7, 1].</w:t>
      </w:r>
    </w:p>
    <w:bookmarkEnd w:id="22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SWE-Marathon — benchmark announcement.</w:t>
      </w:r>
      <w:r>
        <w:t xml:space="preserve"> </w:t>
      </w:r>
      <w:r>
        <w:t xml:space="preserve">New benchmark for autonomous long-horizon software work, centered on 1B-token coherence and big build tasks. Thread:</w:t>
      </w:r>
      <w:r>
        <w:t xml:space="preserve"> </w:t>
      </w:r>
      <w:hyperlink r:id="rId23">
        <w:r>
          <w:rPr>
            <w:rStyle w:val="Hyperlink"/>
          </w:rPr>
          <w:t xml:space="preserve">x.com/rishi_desai2/status/2062930906818769356</w:t>
        </w:r>
      </w:hyperlink>
      <w:r>
        <w:t xml:space="preserve"> </w:t>
      </w:r>
      <w:r>
        <w:t xml:space="preserve">[7, 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Codex use-case roundup from OpenAI.</w:t>
      </w:r>
      <w:r>
        <w:t xml:space="preserve"> </w:t>
      </w:r>
      <w:r>
        <w:t xml:space="preserve">OpenAI is positioning Codex as an</w:t>
      </w:r>
      <w:r>
        <w:t xml:space="preserve"> </w:t>
      </w:r>
      <w:r>
        <w:t xml:space="preserve">“</w:t>
      </w:r>
      <w:r>
        <w:t xml:space="preserve">AI teammate</w:t>
      </w:r>
      <w:r>
        <w:t xml:space="preserve">”</w:t>
      </w:r>
      <w:r>
        <w:t xml:space="preserve"> </w:t>
      </w:r>
      <w:r>
        <w:t xml:space="preserve">across software engineering, design, data analysis, and operations, with concrete dev workflows listed in its use-cases doc. Doc:</w:t>
      </w:r>
      <w:r>
        <w:t xml:space="preserve"> </w:t>
      </w:r>
      <w:hyperlink r:id="rId21">
        <w:r>
          <w:rPr>
            <w:rStyle w:val="Hyperlink"/>
          </w:rPr>
          <w:t xml:space="preserve">developers.openai.com/codex/use-cases</w:t>
        </w:r>
      </w:hyperlink>
      <w:r>
        <w:t xml:space="preserve"> </w:t>
      </w:r>
      <w:r>
        <w:t xml:space="preserve">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Comparison signal: Opus for long runs.</w:t>
      </w:r>
      <w:r>
        <w:t xml:space="preserve"> </w:t>
      </w:r>
      <w:r>
        <w:t xml:space="preserve">Boris Cherny says he is seeing multiple benchmarks showing Opus as the best model for long-running work [1].</w:t>
      </w:r>
    </w:p>
    <w:bookmarkEnd w:id="24"/>
    <w:bookmarkStart w:id="32" w:name="go-deeper"/>
    <w:p>
      <w:pPr>
        <w:pStyle w:val="Heading2"/>
      </w:pPr>
      <w:r>
        <w:t xml:space="preserve">🎬 GO DEEPER</w:t>
      </w:r>
    </w:p>
    <w:p>
      <w:pPr>
        <w:pStyle w:val="FirstParagraph"/>
      </w:pPr>
      <w:r>
        <w:t xml:space="preserve">No video or podcast clips were available in today’s source set. These are the best primary links to read closely:</w:t>
      </w:r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  <w:bCs/>
            <w:b/>
          </w:rPr>
          <w:t xml:space="preserve">Boris Cherny’s post on running Opus autonomously</w:t>
        </w:r>
      </w:hyperlink>
      <w:r>
        <w:t xml:space="preserve"> </w:t>
      </w:r>
      <w:r>
        <w:t xml:space="preserve">— The most copyable post of the day. It compresses the current unattended-agent playbook into five operator decisions: permissions, orchestration, persistence, cloud runtime, and self-verification [1].</w:t>
      </w:r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  <w:bCs/>
            <w:b/>
          </w:rPr>
          <w:t xml:space="preserve">SWE-Marathon thread</w:t>
        </w:r>
      </w:hyperlink>
      <w:r>
        <w:t xml:space="preserve"> </w:t>
      </w:r>
      <w:r>
        <w:t xml:space="preserve">— Worth reading if your eval mindset is still stuck on short diffs. The task selection is the point: build a product, port a framework, or implement a compiler under a huge token budget [7, 1].</w:t>
      </w:r>
    </w:p>
    <w:p>
      <w:pPr>
        <w:numPr>
          <w:ilvl w:val="0"/>
          <w:numId w:val="1003"/>
        </w:numPr>
        <w:pStyle w:val="Compact"/>
      </w:pPr>
      <w:hyperlink r:id="rId21">
        <w:r>
          <w:rPr>
            <w:rStyle w:val="Hyperlink"/>
            <w:bCs/>
            <w:b/>
          </w:rPr>
          <w:t xml:space="preserve">Codex use cases</w:t>
        </w:r>
      </w:hyperlink>
      <w:r>
        <w:t xml:space="preserve"> </w:t>
      </w:r>
      <w:r>
        <w:t xml:space="preserve">— Fastest way to scan OpenAI’s own picture of where Codex already fits inside a dev org. Good for picking one narrow workflow to test first [6].</w:t>
      </w:r>
    </w:p>
    <w:p>
      <w:pPr>
        <w:numPr>
          <w:ilvl w:val="0"/>
          <w:numId w:val="1003"/>
        </w:numPr>
        <w:pStyle w:val="Compact"/>
      </w:pPr>
      <w:hyperlink r:id="rId26">
        <w:r>
          <w:rPr>
            <w:rStyle w:val="Hyperlink"/>
            <w:bCs/>
            <w:b/>
          </w:rPr>
          <w:t xml:space="preserve">steipete’s loop post</w:t>
        </w:r>
      </w:hyperlink>
      <w:r>
        <w:rPr>
          <w:bCs/>
          <w:b/>
        </w:rPr>
        <w:t xml:space="preserve">,</w:t>
      </w:r>
      <w:r>
        <w:rPr>
          <w:bCs/>
          <w:b/>
        </w:rPr>
        <w:t xml:space="preserve"> </w:t>
      </w:r>
      <w:hyperlink r:id="rId27">
        <w:r>
          <w:rPr>
            <w:rStyle w:val="Hyperlink"/>
            <w:bCs/>
            <w:b/>
          </w:rPr>
          <w:t xml:space="preserve">Armin Ronacher’s response</w:t>
        </w:r>
      </w:hyperlink>
      <w:r>
        <w:rPr>
          <w:bCs/>
          <w:b/>
        </w:rPr>
        <w:t xml:space="preserve">, and</w:t>
      </w:r>
      <w:r>
        <w:rPr>
          <w:bCs/>
          <w:b/>
        </w:rPr>
        <w:t xml:space="preserve"> </w:t>
      </w:r>
      <w:hyperlink r:id="rId28">
        <w:r>
          <w:rPr>
            <w:rStyle w:val="Hyperlink"/>
            <w:bCs/>
            <w:b/>
          </w:rPr>
          <w:t xml:space="preserve">ThePrimeagen’s rebuttal</w:t>
        </w:r>
      </w:hyperlink>
      <w:r>
        <w:t xml:space="preserve"> </w:t>
      </w:r>
      <w:r>
        <w:t xml:space="preserve">— Read these together, not separately. The contrast is the signal: expert users are moving toward orchestration, and the backlash is against pretending that makes it beginner advice [2, 3, 5].</w:t>
      </w:r>
    </w:p>
    <w:p>
      <w:pPr>
        <w:pStyle w:val="FirstParagraph"/>
      </w:pPr>
      <w:r>
        <w:rPr>
          <w:iCs/>
          <w:i/>
        </w:rPr>
        <w:t xml:space="preserve">Editorial take: the edge is moving from better prompts to better runtime control—permissions, loops, and verification—but full agent looping still looks like an expert move, not a default workflow.</w:t>
      </w:r>
      <w:r>
        <w:t xml:space="preserve"> </w:t>
      </w:r>
      <w:r>
        <w:t xml:space="preserve">[1, 2, 5]</w:t>
      </w:r>
    </w:p>
    <w:p>
      <w:r>
        <w:pict>
          <v:rect style="width:0;height:1.5pt" o:hralign="center" o:hrstd="t" o:hr="t"/>
        </w:pict>
      </w:r>
    </w:p>
    <w:bookmarkStart w:id="3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4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@ThePrimeagen</w:t>
        </w:r>
      </w:hyperlink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@suraj_sharma14</w:t>
        </w:r>
      </w:hyperlink>
    </w:p>
    <w:p>
      <w:pPr>
        <w:numPr>
          <w:ilvl w:val="0"/>
          <w:numId w:val="1004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@rishi_desai2</w:t>
        </w:r>
      </w:hyperlink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developers.openai.com/codex/use-cases" TargetMode="External" /><Relationship Type="http://schemas.openxmlformats.org/officeDocument/2006/relationships/hyperlink" Id="rId28" Target="https://x.com/ThePrimeagen/status/2063746333023043966" TargetMode="External" /><Relationship Type="http://schemas.openxmlformats.org/officeDocument/2006/relationships/hyperlink" Id="rId25" Target="https://x.com/bcherny/status/2063792263067754658" TargetMode="External" /><Relationship Type="http://schemas.openxmlformats.org/officeDocument/2006/relationships/hyperlink" Id="rId27" Target="https://x.com/mitsuhiko/status/2063754786302742911" TargetMode="External" /><Relationship Type="http://schemas.openxmlformats.org/officeDocument/2006/relationships/hyperlink" Id="rId23" Target="https://x.com/rishi_desai2/status/2062930906818769356" TargetMode="External" /><Relationship Type="http://schemas.openxmlformats.org/officeDocument/2006/relationships/hyperlink" Id="rId29" Target="https://x.com/rohanpaul_ai/status/2063289804708835412" TargetMode="External" /><Relationship Type="http://schemas.openxmlformats.org/officeDocument/2006/relationships/hyperlink" Id="rId26" Target="https://x.com/steipete/status/2063697162748260627" TargetMode="External" /><Relationship Type="http://schemas.openxmlformats.org/officeDocument/2006/relationships/hyperlink" Id="rId30" Target="https://x.com/suraj_sharma14/status/20635897958137858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developers.openai.com/codex/use-cases" TargetMode="External" /><Relationship Type="http://schemas.openxmlformats.org/officeDocument/2006/relationships/hyperlink" Id="rId28" Target="https://x.com/ThePrimeagen/status/2063746333023043966" TargetMode="External" /><Relationship Type="http://schemas.openxmlformats.org/officeDocument/2006/relationships/hyperlink" Id="rId25" Target="https://x.com/bcherny/status/2063792263067754658" TargetMode="External" /><Relationship Type="http://schemas.openxmlformats.org/officeDocument/2006/relationships/hyperlink" Id="rId27" Target="https://x.com/mitsuhiko/status/2063754786302742911" TargetMode="External" /><Relationship Type="http://schemas.openxmlformats.org/officeDocument/2006/relationships/hyperlink" Id="rId23" Target="https://x.com/rishi_desai2/status/2062930906818769356" TargetMode="External" /><Relationship Type="http://schemas.openxmlformats.org/officeDocument/2006/relationships/hyperlink" Id="rId29" Target="https://x.com/rohanpaul_ai/status/2063289804708835412" TargetMode="External" /><Relationship Type="http://schemas.openxmlformats.org/officeDocument/2006/relationships/hyperlink" Id="rId26" Target="https://x.com/steipete/status/2063697162748260627" TargetMode="External" /><Relationship Type="http://schemas.openxmlformats.org/officeDocument/2006/relationships/hyperlink" Id="rId30" Target="https://x.com/suraj_sharma14/status/20635897958137858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Opus Autonomy Playbook and the Loop Backlash</dc:title>
  <dc:creator>Coding Agents Alpha Tracker</dc:creator>
  <cp:keywords/>
  <dcterms:created xsi:type="dcterms:W3CDTF">2026-06-08T17:52:32Z</dcterms:created>
  <dcterms:modified xsi:type="dcterms:W3CDTF">2026-06-08T17:52:32Z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2026-06-08</vt:lpwstr>
  </property>
</Properties>
</file>