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Ownership Debates, OpenAI Hires, and a $5.3T AI Buildout</w:t>
      </w:r>
    </w:p>
    <w:p>
      <w:pPr>
        <w:pStyle w:val="Author"/>
      </w:pPr>
      <w:r>
        <w:t xml:space="preserve">AI News Digest</w:t>
      </w:r>
    </w:p>
    <w:p>
      <w:pPr>
        <w:pStyle w:val="Date"/>
      </w:pPr>
      <w:r>
        <w:t xml:space="preserve">2026-06-21</w:t>
      </w:r>
    </w:p>
    <w:bookmarkStart w:id="42" w:name="Xa58bc2acccf434c44bf50c377b2d6ebe6a6acea"/>
    <w:p>
      <w:pPr>
        <w:pStyle w:val="Heading1"/>
      </w:pPr>
      <w:r>
        <w:t xml:space="preserve">Ownership Debates, OpenAI Hires, and a $5.3T AI Buildout</w:t>
      </w:r>
    </w:p>
    <w:p>
      <w:pPr>
        <w:pStyle w:val="FirstParagraph"/>
      </w:pPr>
      <w:r>
        <w:rPr>
          <w:iCs/>
          <w:i/>
        </w:rPr>
        <w:t xml:space="preserve">By AI News Digest • June 21, 2026</w:t>
      </w:r>
    </w:p>
    <w:p>
      <w:pPr>
        <w:pStyle w:val="BodyText"/>
      </w:pPr>
      <w:r>
        <w:t xml:space="preserve">Today’s digest centers on control: Washington is debating equity stakes in leading AI labs, state attorneys general are scrutinizing OpenAI, and OpenAI itself is pulling more policy and research capacity inward. The other major thread is economic, with Goldman framing AI infrastructure as a $5.3T financing challenge and early agent use appearing to increase demand for existing enterprise software.</w:t>
      </w:r>
    </w:p>
    <w:bookmarkStart w:id="23" w:name="X98c5aaa8ba690c592015400e6fefa13e1017518"/>
    <w:p>
      <w:pPr>
        <w:pStyle w:val="Heading2"/>
      </w:pPr>
      <w:r>
        <w:t xml:space="preserve">Today’s main story: control is becoming the central AI question</w:t>
      </w:r>
    </w:p>
    <w:bookmarkStart w:id="20" w:name="X0f644ff4f2fe9c8e3f7c192a38d1ab63f7dc265"/>
    <w:p>
      <w:pPr>
        <w:pStyle w:val="Heading3"/>
      </w:pPr>
      <w:r>
        <w:t xml:space="preserve">Washington’s AI debate widened from rules to ownership</w:t>
      </w:r>
    </w:p>
    <w:p>
      <w:pPr>
        <w:pStyle w:val="FirstParagraph"/>
      </w:pPr>
      <w:r>
        <w:t xml:space="preserve">A post quoting JD Vance said the administration supports a sovereign-wealth-fund style approach in which the U.S. would own stakes in major AI companies including OpenAI, Anthropic, and xAI [1]. The same thread pointed to the government’s converted Intel CHIPS position as precedent and estimated that a 10% stake across roughly $5T of AI value would amount to about $500B of holdings [1].</w:t>
      </w:r>
    </w:p>
    <w:p>
      <w:pPr>
        <w:pStyle w:val="BodyText"/>
      </w:pPr>
      <w:r>
        <w:rPr>
          <w:bCs/>
          <w:b/>
        </w:rPr>
        <w:t xml:space="preserve">Why it matters:</w:t>
      </w:r>
      <w:r>
        <w:t xml:space="preserve"> </w:t>
      </w:r>
      <w:r>
        <w:t xml:space="preserve">The state’s AI role is being framed less as simple regulation and more as ownership, capital allocation, and strategic control. In a separate interview, Dean Ball argued that broad diffusion of AI across businesses and institutions is the main political check against confiscatory or nationalization outcomes [2].</w:t>
      </w:r>
    </w:p>
    <w:bookmarkEnd w:id="20"/>
    <w:bookmarkStart w:id="21" w:name="openai-is-drawing-state-level-scrutiny"/>
    <w:p>
      <w:pPr>
        <w:pStyle w:val="Heading3"/>
      </w:pPr>
      <w:r>
        <w:t xml:space="preserve">OpenAI is drawing state-level scrutiny</w:t>
      </w:r>
    </w:p>
    <w:p>
      <w:pPr>
        <w:pStyle w:val="FirstParagraph"/>
      </w:pPr>
      <w:r>
        <w:t xml:space="preserve">Luiza Jarovsky wrote that 42 state attorneys general are investigating OpenAI over alleged harmful practices [3]. The surrounding commentary argued that authorities are becoming less willing to treat frontier AI as exempt from public-interest tests, though that standard was presented as opinion rather than official policy [3].</w:t>
      </w:r>
    </w:p>
    <w:p>
      <w:pPr>
        <w:pStyle w:val="BodyText"/>
      </w:pPr>
      <w:r>
        <w:rPr>
          <w:bCs/>
          <w:b/>
        </w:rPr>
        <w:t xml:space="preserve">Why it matters:</w:t>
      </w:r>
      <w:r>
        <w:t xml:space="preserve"> </w:t>
      </w:r>
      <w:r>
        <w:t xml:space="preserve">Oversight is no longer only a Washington story. State attorneys general are also emerging as meaningful actors around frontier AI governance.</w:t>
      </w:r>
    </w:p>
    <w:bookmarkEnd w:id="21"/>
    <w:bookmarkStart w:id="22" w:name="X9f6dd5ec54f430e475b0ba69df07f5077d26e8c"/>
    <w:p>
      <w:pPr>
        <w:pStyle w:val="Heading3"/>
      </w:pPr>
      <w:r>
        <w:t xml:space="preserve">OpenAI is pulling both policy and research capacity inward</w:t>
      </w:r>
    </w:p>
    <w:p>
      <w:pPr>
        <w:pStyle w:val="FirstParagraph"/>
      </w:pPr>
      <w:r>
        <w:t xml:space="preserve">Dean Ball said he is joining OpenAI to work on a boutique team that looks six to twelve months ahead on frontier capabilities, internal deployments, and decisions that may be made before public release [2]. In the same interview, he estimated the U.S. AI Action Plan is roughly 30-40% implemented, while criticizing abrupt frontier-model export controls and classified predeployment testing run mainly by the intelligence community [2].</w:t>
      </w:r>
    </w:p>
    <w:p>
      <w:pPr>
        <w:pStyle w:val="BodyText"/>
      </w:pPr>
      <w:r>
        <w:t xml:space="preserve">OpenAI is also adding Noam Shazeer from Google [4]. Sebastien Bubeck called OpenAI’s research culture unparalleled, while Yann LeCun questioned the value of that culture behind an event horizon [5, 6].</w:t>
      </w:r>
    </w:p>
    <w:p>
      <w:pPr>
        <w:pStyle w:val="BodyText"/>
      </w:pPr>
      <w:r>
        <w:rPr>
          <w:bCs/>
          <w:b/>
        </w:rPr>
        <w:t xml:space="preserve">Why it matters:</w:t>
      </w:r>
      <w:r>
        <w:t xml:space="preserve"> </w:t>
      </w:r>
      <w:r>
        <w:t xml:space="preserve">OpenAI appears to be consolidating both technical talent and policy formation inside the lab just as its pre-release choices carry more weight.</w:t>
      </w:r>
    </w:p>
    <w:bookmarkEnd w:id="22"/>
    <w:bookmarkEnd w:id="23"/>
    <w:bookmarkStart w:id="26" w:name="X96e7894f46e62f6f40fea62d9240a0bee098280"/>
    <w:p>
      <w:pPr>
        <w:pStyle w:val="Heading2"/>
      </w:pPr>
      <w:r>
        <w:t xml:space="preserve">The business model question is getting sharper</w:t>
      </w:r>
    </w:p>
    <w:bookmarkStart w:id="24" w:name="Xdf41835adc664e79c072833342a461f12bf2212"/>
    <w:p>
      <w:pPr>
        <w:pStyle w:val="Heading3"/>
      </w:pPr>
      <w:r>
        <w:t xml:space="preserve">Goldman’s $5.3T AI buildout thesis shifts attention from chips to finance</w:t>
      </w:r>
    </w:p>
    <w:p>
      <w:pPr>
        <w:pStyle w:val="FirstParagraph"/>
      </w:pPr>
      <w:r>
        <w:t xml:space="preserve">Goldman Sachs estimated hyperscaler AI and data-center spending at $5.3T from 2025 through 2030 [7]. The cited analysis said capex plans are rising faster than actual construction, with financing capacity, power availability, and project execution becoming key constraints as the same few buyers lean harder on debt markets [7].</w:t>
      </w:r>
    </w:p>
    <w:p>
      <w:pPr>
        <w:pStyle w:val="BodyText"/>
      </w:pPr>
      <w:r>
        <w:rPr>
          <w:bCs/>
          <w:b/>
        </w:rPr>
        <w:t xml:space="preserve">Why it matters:</w:t>
      </w:r>
      <w:r>
        <w:t xml:space="preserve"> </w:t>
      </w:r>
      <w:r>
        <w:t xml:space="preserve">The next bottleneck may be balance sheets and utilities, not just model quality or chip supply. A separate quoted remark from Anthropic’s CEO framed the revenue side just as starkly, warning that AI companies could face existential risk without hundreds of billions in revenue [8].</w:t>
      </w:r>
    </w:p>
    <w:bookmarkEnd w:id="24"/>
    <w:bookmarkStart w:id="25" w:name="Xe7f0efed31d8832bfaa795b4aa77789b7712a02"/>
    <w:p>
      <w:pPr>
        <w:pStyle w:val="Heading3"/>
      </w:pPr>
      <w:r>
        <w:t xml:space="preserve">Early agent usage is boosting systems of record, not replacing them</w:t>
      </w:r>
    </w:p>
    <w:p>
      <w:pPr>
        <w:pStyle w:val="FirstParagraph"/>
      </w:pPr>
      <w:r>
        <w:t xml:space="preserve">Francois Chollet argued that the more companies embrace AI, the more they need SaaS platforms [9]. As one example, Aaron Levie said connecting Salesforce’s MCP server to Claude Code led him to use Salesforce five times more than before, because the agent made customer and market-intelligence queries easier to run rather than removing the underlying system [10].</w:t>
      </w:r>
    </w:p>
    <w:p>
      <w:pPr>
        <w:pStyle w:val="BodyText"/>
      </w:pPr>
      <w:r>
        <w:rPr>
          <w:bCs/>
          <w:b/>
        </w:rPr>
        <w:t xml:space="preserve">Why it matters:</w:t>
      </w:r>
      <w:r>
        <w:t xml:space="preserve"> </w:t>
      </w:r>
      <w:r>
        <w:t xml:space="preserve">If this pattern holds, some near-term value may flow through higher engagement with data-rich enterprise platforms and workflow tools, not only through frontier model vendors.</w:t>
      </w:r>
    </w:p>
    <w:bookmarkEnd w:id="25"/>
    <w:bookmarkEnd w:id="26"/>
    <w:bookmarkStart w:id="41" w:name="one-practical-operating-signal"/>
    <w:p>
      <w:pPr>
        <w:pStyle w:val="Heading2"/>
      </w:pPr>
      <w:r>
        <w:t xml:space="preserve">One practical operating signal</w:t>
      </w:r>
    </w:p>
    <w:bookmarkStart w:id="27" w:name="Xcc47272bd8b5ff03b3e7698924c1449d9f33c94"/>
    <w:p>
      <w:pPr>
        <w:pStyle w:val="Heading3"/>
      </w:pPr>
      <w:r>
        <w:t xml:space="preserve">Coding agents are being reorganized into subagent swarms</w:t>
      </w:r>
    </w:p>
    <w:p>
      <w:pPr>
        <w:pStyle w:val="FirstParagraph"/>
      </w:pPr>
      <w:r>
        <w:t xml:space="preserve">A Cognition employee described</w:t>
      </w:r>
      <w:r>
        <w:t xml:space="preserve"> </w:t>
      </w:r>
      <w:r>
        <w:rPr>
          <w:iCs/>
          <w:i/>
        </w:rPr>
        <w:t xml:space="preserve">agent fan out</w:t>
      </w:r>
      <w:r>
        <w:t xml:space="preserve"> </w:t>
      </w:r>
      <w:r>
        <w:t xml:space="preserve">workflows where a master Devin breaks a task into many smaller jobs, launches 10 or more child agents in parallel, and then recombines the results; examples ranged from 100 Devins examining eval logs to parallel alternative implementations [11]. The same thread emphasized smaller contexts, agent-written prompts, heavy multitasking, and self-testing, which swyx summarized as the summer of subagents [11, 12].</w:t>
      </w:r>
    </w:p>
    <w:p>
      <w:pPr>
        <w:pStyle w:val="BodyText"/>
      </w:pPr>
      <w:r>
        <w:rPr>
          <w:bCs/>
          <w:b/>
        </w:rPr>
        <w:t xml:space="preserve">Why it matters:</w:t>
      </w:r>
      <w:r>
        <w:t xml:space="preserve"> </w:t>
      </w:r>
      <w:r>
        <w:t xml:space="preserve">The more interesting signal now may be orchestration, not one-agent demos. Teams are experimenting with ways to turn coding agents into parallel workers rather than single assistants.</w:t>
      </w:r>
    </w:p>
    <w:p>
      <w:r>
        <w:pict>
          <v:rect style="width:0;height:1.5pt" o:hralign="center" o:hrstd="t" o:hr="t"/>
        </w:pict>
      </w:r>
    </w:p>
    <w:bookmarkEnd w:id="27"/>
    <w:bookmarkStart w:id="40" w:name="sources"/>
    <w:p>
      <w:pPr>
        <w:pStyle w:val="Heading3"/>
      </w:pPr>
      <w:r>
        <w:t xml:space="preserve">Sources</w:t>
      </w:r>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@SurmountInvest</w:t>
        </w:r>
      </w:hyperlink>
    </w:p>
    <w:p>
      <w:pPr>
        <w:numPr>
          <w:ilvl w:val="0"/>
          <w:numId w:val="1001"/>
        </w:numPr>
        <w:pStyle w:val="Compact"/>
      </w:pPr>
      <w:hyperlink r:id="rId29">
        <w:r>
          <w:rPr>
            <w:rStyle w:val="Hyperlink"/>
          </w:rPr>
          <w:t xml:space="preserve">Dean Ball, on Joining OpenAI: New Power Centers, Frontier AI Policy, &amp; Main Character Energy</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@LuizaJarovsky</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@NoamShazeer</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@SebastienBubeck</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@ylecun</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@rohanpaul_ai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@FirstSquawk</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@PodcastAlphaX</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@imjaredz</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@swyx</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cognitiverevolution.ai/dean-ball-on-joining-openai-new-power-centers-frontier-ai-policy-main-character-energy" TargetMode="External" /><Relationship Type="http://schemas.openxmlformats.org/officeDocument/2006/relationships/hyperlink" Id="rId35" Target="https://x.com/FirstSquawk/status/2068156569305641332" TargetMode="External" /><Relationship Type="http://schemas.openxmlformats.org/officeDocument/2006/relationships/hyperlink" Id="rId30" Target="https://x.com/LuizaJarovsky/status/2068444608435220873" TargetMode="External" /><Relationship Type="http://schemas.openxmlformats.org/officeDocument/2006/relationships/hyperlink" Id="rId31" Target="https://x.com/NoamShazeer/status/2067400851438932297" TargetMode="External" /><Relationship Type="http://schemas.openxmlformats.org/officeDocument/2006/relationships/hyperlink" Id="rId37" Target="https://x.com/PodcastAlphaX/status/2068431946431008972" TargetMode="External" /><Relationship Type="http://schemas.openxmlformats.org/officeDocument/2006/relationships/hyperlink" Id="rId32" Target="https://x.com/SebastienBubeck/status/2067406418844549173" TargetMode="External" /><Relationship Type="http://schemas.openxmlformats.org/officeDocument/2006/relationships/hyperlink" Id="rId28" Target="https://x.com/SurmountInvest/status/2068333299353911554" TargetMode="External" /><Relationship Type="http://schemas.openxmlformats.org/officeDocument/2006/relationships/hyperlink" Id="rId36" Target="https://x.com/fchollet/status/2068488678947918124" TargetMode="External" /><Relationship Type="http://schemas.openxmlformats.org/officeDocument/2006/relationships/hyperlink" Id="rId38" Target="https://x.com/imjaredz/status/2068001458205720751" TargetMode="External" /><Relationship Type="http://schemas.openxmlformats.org/officeDocument/2006/relationships/hyperlink" Id="rId34" Target="https://x.com/rohanpaul_ai/status/2068213062218486135" TargetMode="External" /><Relationship Type="http://schemas.openxmlformats.org/officeDocument/2006/relationships/hyperlink" Id="rId39" Target="https://x.com/swyx/status/2068239081994367034" TargetMode="External" /><Relationship Type="http://schemas.openxmlformats.org/officeDocument/2006/relationships/hyperlink" Id="rId33" Target="https://x.com/ylecun/status/2067553419292811379" TargetMode="External" /></Relationships>
</file>

<file path=word/_rels/footnotes.xml.rels><?xml version="1.0" encoding="UTF-8"?><Relationships xmlns="http://schemas.openxmlformats.org/package/2006/relationships"><Relationship Type="http://schemas.openxmlformats.org/officeDocument/2006/relationships/hyperlink" Id="rId29" Target="https://www.cognitiverevolution.ai/dean-ball-on-joining-openai-new-power-centers-frontier-ai-policy-main-character-energy" TargetMode="External" /><Relationship Type="http://schemas.openxmlformats.org/officeDocument/2006/relationships/hyperlink" Id="rId35" Target="https://x.com/FirstSquawk/status/2068156569305641332" TargetMode="External" /><Relationship Type="http://schemas.openxmlformats.org/officeDocument/2006/relationships/hyperlink" Id="rId30" Target="https://x.com/LuizaJarovsky/status/2068444608435220873" TargetMode="External" /><Relationship Type="http://schemas.openxmlformats.org/officeDocument/2006/relationships/hyperlink" Id="rId31" Target="https://x.com/NoamShazeer/status/2067400851438932297" TargetMode="External" /><Relationship Type="http://schemas.openxmlformats.org/officeDocument/2006/relationships/hyperlink" Id="rId37" Target="https://x.com/PodcastAlphaX/status/2068431946431008972" TargetMode="External" /><Relationship Type="http://schemas.openxmlformats.org/officeDocument/2006/relationships/hyperlink" Id="rId32" Target="https://x.com/SebastienBubeck/status/2067406418844549173" TargetMode="External" /><Relationship Type="http://schemas.openxmlformats.org/officeDocument/2006/relationships/hyperlink" Id="rId28" Target="https://x.com/SurmountInvest/status/2068333299353911554" TargetMode="External" /><Relationship Type="http://schemas.openxmlformats.org/officeDocument/2006/relationships/hyperlink" Id="rId36" Target="https://x.com/fchollet/status/2068488678947918124" TargetMode="External" /><Relationship Type="http://schemas.openxmlformats.org/officeDocument/2006/relationships/hyperlink" Id="rId38" Target="https://x.com/imjaredz/status/2068001458205720751" TargetMode="External" /><Relationship Type="http://schemas.openxmlformats.org/officeDocument/2006/relationships/hyperlink" Id="rId34" Target="https://x.com/rohanpaul_ai/status/2068213062218486135" TargetMode="External" /><Relationship Type="http://schemas.openxmlformats.org/officeDocument/2006/relationships/hyperlink" Id="rId39" Target="https://x.com/swyx/status/2068239081994367034" TargetMode="External" /><Relationship Type="http://schemas.openxmlformats.org/officeDocument/2006/relationships/hyperlink" Id="rId33" Target="https://x.com/ylecun/status/20675534192928113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Debates, OpenAI Hires, and a $5.3T AI Buildout</dc:title>
  <dc:creator>AI News Digest</dc:creator>
  <cp:keywords/>
  <dcterms:created xsi:type="dcterms:W3CDTF">2026-06-21T18:25:38Z</dcterms:created>
  <dcterms:modified xsi:type="dcterms:W3CDTF">2026-06-21T18:25:38Z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2026-06-21</vt:lpwstr>
  </property>
</Properties>
</file>